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A81302" w14:textId="77777777" w:rsidR="004811A7" w:rsidRDefault="007632C5" w:rsidP="005A0868">
      <w:pPr>
        <w:jc w:val="center"/>
        <w:rPr>
          <w:rFonts w:ascii="Arial" w:eastAsia="Arial" w:hAnsi="Arial" w:cs="Arial"/>
        </w:rPr>
      </w:pPr>
      <w:r>
        <w:rPr>
          <w:rFonts w:ascii="Arial" w:eastAsia="Arial" w:hAnsi="Arial" w:cs="Arial"/>
          <w:b/>
        </w:rPr>
        <w:t>CONSEJO DE ESTADO</w:t>
      </w:r>
    </w:p>
    <w:p w14:paraId="0EEDDF6A" w14:textId="77777777" w:rsidR="004811A7" w:rsidRDefault="007632C5" w:rsidP="005A0868">
      <w:pPr>
        <w:jc w:val="center"/>
        <w:rPr>
          <w:rFonts w:ascii="Arial" w:eastAsia="Arial" w:hAnsi="Arial" w:cs="Arial"/>
        </w:rPr>
      </w:pPr>
      <w:r>
        <w:rPr>
          <w:rFonts w:ascii="Arial" w:eastAsia="Arial" w:hAnsi="Arial" w:cs="Arial"/>
          <w:b/>
        </w:rPr>
        <w:t>SALA DE LO CONTENCIOSO ADMINISTRATIVO</w:t>
      </w:r>
    </w:p>
    <w:p w14:paraId="56A09503" w14:textId="77777777" w:rsidR="004811A7" w:rsidRDefault="007632C5" w:rsidP="005A0868">
      <w:pPr>
        <w:jc w:val="center"/>
        <w:rPr>
          <w:rFonts w:ascii="Arial" w:eastAsia="Arial" w:hAnsi="Arial" w:cs="Arial"/>
        </w:rPr>
      </w:pPr>
      <w:r>
        <w:rPr>
          <w:rFonts w:ascii="Arial" w:eastAsia="Arial" w:hAnsi="Arial" w:cs="Arial"/>
          <w:b/>
        </w:rPr>
        <w:t>SECCIÓN CUARTA</w:t>
      </w:r>
    </w:p>
    <w:p w14:paraId="69817412" w14:textId="77777777" w:rsidR="004811A7" w:rsidRDefault="004811A7" w:rsidP="005A0868">
      <w:pPr>
        <w:jc w:val="center"/>
        <w:rPr>
          <w:rFonts w:ascii="Arial" w:eastAsia="Arial" w:hAnsi="Arial" w:cs="Arial"/>
        </w:rPr>
      </w:pPr>
    </w:p>
    <w:p w14:paraId="264ECA88" w14:textId="77777777" w:rsidR="004811A7" w:rsidRDefault="004811A7" w:rsidP="005A0868">
      <w:pPr>
        <w:jc w:val="center"/>
        <w:rPr>
          <w:rFonts w:ascii="Arial" w:eastAsia="Arial" w:hAnsi="Arial" w:cs="Arial"/>
        </w:rPr>
      </w:pPr>
    </w:p>
    <w:p w14:paraId="37BC7DC7" w14:textId="77777777" w:rsidR="004811A7" w:rsidRDefault="004811A7" w:rsidP="005A0868">
      <w:pPr>
        <w:jc w:val="center"/>
        <w:rPr>
          <w:rFonts w:ascii="Arial" w:eastAsia="Arial" w:hAnsi="Arial" w:cs="Arial"/>
        </w:rPr>
      </w:pPr>
    </w:p>
    <w:p w14:paraId="553201E0" w14:textId="77777777" w:rsidR="004811A7" w:rsidRDefault="007632C5" w:rsidP="005A0868">
      <w:pPr>
        <w:jc w:val="center"/>
        <w:rPr>
          <w:rFonts w:ascii="Arial" w:eastAsia="Arial" w:hAnsi="Arial" w:cs="Arial"/>
        </w:rPr>
      </w:pPr>
      <w:r>
        <w:rPr>
          <w:rFonts w:ascii="Arial" w:eastAsia="Arial" w:hAnsi="Arial" w:cs="Arial"/>
          <w:b/>
        </w:rPr>
        <w:t>CONSEJERO PONENTE: JULIO ROBERTO PIZA RODRÍGUEZ (E)</w:t>
      </w:r>
    </w:p>
    <w:p w14:paraId="7A7ECC42" w14:textId="77777777" w:rsidR="004811A7" w:rsidRDefault="004811A7" w:rsidP="005A0868">
      <w:pPr>
        <w:jc w:val="center"/>
        <w:rPr>
          <w:rFonts w:ascii="Arial" w:eastAsia="Arial" w:hAnsi="Arial" w:cs="Arial"/>
        </w:rPr>
      </w:pPr>
    </w:p>
    <w:p w14:paraId="6D6EF0AB" w14:textId="77777777" w:rsidR="004811A7" w:rsidRDefault="004811A7" w:rsidP="005A0868">
      <w:pPr>
        <w:jc w:val="center"/>
        <w:rPr>
          <w:rFonts w:ascii="Arial" w:eastAsia="Arial" w:hAnsi="Arial" w:cs="Arial"/>
        </w:rPr>
      </w:pPr>
    </w:p>
    <w:p w14:paraId="5413B127" w14:textId="77777777" w:rsidR="004811A7" w:rsidRDefault="004811A7" w:rsidP="005A0868">
      <w:pPr>
        <w:jc w:val="center"/>
        <w:rPr>
          <w:rFonts w:ascii="Arial" w:eastAsia="Arial" w:hAnsi="Arial" w:cs="Arial"/>
        </w:rPr>
      </w:pPr>
    </w:p>
    <w:p w14:paraId="128007B4" w14:textId="7BD055AB" w:rsidR="004811A7" w:rsidRDefault="007632C5" w:rsidP="005A0868">
      <w:pPr>
        <w:jc w:val="center"/>
        <w:rPr>
          <w:rFonts w:ascii="Arial" w:eastAsia="Arial" w:hAnsi="Arial" w:cs="Arial"/>
        </w:rPr>
      </w:pPr>
      <w:r>
        <w:rPr>
          <w:rFonts w:ascii="Arial" w:eastAsia="Arial" w:hAnsi="Arial" w:cs="Arial"/>
          <w:b/>
        </w:rPr>
        <w:t xml:space="preserve">Bogotá D.C., </w:t>
      </w:r>
      <w:r w:rsidR="007F37CA">
        <w:rPr>
          <w:rFonts w:ascii="Arial" w:eastAsia="Arial" w:hAnsi="Arial" w:cs="Arial"/>
          <w:b/>
        </w:rPr>
        <w:t xml:space="preserve">veintisiete </w:t>
      </w:r>
      <w:r>
        <w:rPr>
          <w:rFonts w:ascii="Arial" w:eastAsia="Arial" w:hAnsi="Arial" w:cs="Arial"/>
          <w:b/>
        </w:rPr>
        <w:t>(</w:t>
      </w:r>
      <w:r w:rsidR="007F37CA">
        <w:rPr>
          <w:rFonts w:ascii="Arial" w:eastAsia="Arial" w:hAnsi="Arial" w:cs="Arial"/>
          <w:b/>
        </w:rPr>
        <w:t>27</w:t>
      </w:r>
      <w:r>
        <w:rPr>
          <w:rFonts w:ascii="Arial" w:eastAsia="Arial" w:hAnsi="Arial" w:cs="Arial"/>
          <w:b/>
        </w:rPr>
        <w:t xml:space="preserve">) de </w:t>
      </w:r>
      <w:r w:rsidR="00721D99">
        <w:rPr>
          <w:rFonts w:ascii="Arial" w:eastAsia="Arial" w:hAnsi="Arial" w:cs="Arial"/>
          <w:b/>
        </w:rPr>
        <w:t>agosto</w:t>
      </w:r>
      <w:r>
        <w:rPr>
          <w:rFonts w:ascii="Arial" w:eastAsia="Arial" w:hAnsi="Arial" w:cs="Arial"/>
          <w:b/>
        </w:rPr>
        <w:t xml:space="preserve"> de dos mil veinte (2020)</w:t>
      </w:r>
    </w:p>
    <w:p w14:paraId="54B43265" w14:textId="77777777" w:rsidR="004811A7" w:rsidRDefault="004811A7" w:rsidP="005A0868">
      <w:pPr>
        <w:jc w:val="center"/>
        <w:rPr>
          <w:rFonts w:ascii="Arial" w:eastAsia="Arial" w:hAnsi="Arial" w:cs="Arial"/>
        </w:rPr>
      </w:pPr>
    </w:p>
    <w:p w14:paraId="1FFE3AC3" w14:textId="3BBC60DA" w:rsidR="004811A7" w:rsidRDefault="004811A7" w:rsidP="005A0868">
      <w:pPr>
        <w:rPr>
          <w:rFonts w:ascii="Arial" w:eastAsia="Arial" w:hAnsi="Arial" w:cs="Arial"/>
        </w:rPr>
      </w:pPr>
    </w:p>
    <w:p w14:paraId="44DC6EED" w14:textId="77777777" w:rsidR="007F37CA" w:rsidRDefault="007F37CA" w:rsidP="005A0868">
      <w:pPr>
        <w:rPr>
          <w:rFonts w:ascii="Arial" w:eastAsia="Arial" w:hAnsi="Arial" w:cs="Arial"/>
        </w:rPr>
      </w:pPr>
    </w:p>
    <w:tbl>
      <w:tblPr>
        <w:tblW w:w="9380" w:type="dxa"/>
        <w:tblLook w:val="04A0" w:firstRow="1" w:lastRow="0" w:firstColumn="1" w:lastColumn="0" w:noHBand="0" w:noVBand="1"/>
      </w:tblPr>
      <w:tblGrid>
        <w:gridCol w:w="2001"/>
        <w:gridCol w:w="7369"/>
        <w:gridCol w:w="10"/>
      </w:tblGrid>
      <w:tr w:rsidR="007F37CA" w:rsidRPr="009176D9" w14:paraId="615018E8" w14:textId="77777777" w:rsidTr="009A7D3C">
        <w:trPr>
          <w:gridAfter w:val="1"/>
          <w:wAfter w:w="10" w:type="dxa"/>
          <w:trHeight w:val="277"/>
        </w:trPr>
        <w:tc>
          <w:tcPr>
            <w:tcW w:w="2001" w:type="dxa"/>
            <w:shd w:val="clear" w:color="auto" w:fill="auto"/>
          </w:tcPr>
          <w:p w14:paraId="22F5A46B" w14:textId="77777777" w:rsidR="007F37CA" w:rsidRPr="009176D9" w:rsidRDefault="007F37CA" w:rsidP="005A0868">
            <w:pPr>
              <w:rPr>
                <w:rFonts w:ascii="Arial" w:hAnsi="Arial" w:cs="Arial"/>
              </w:rPr>
            </w:pPr>
            <w:bookmarkStart w:id="0" w:name="OLE_LINK7"/>
            <w:bookmarkStart w:id="1" w:name="OLE_LINK8"/>
            <w:r w:rsidRPr="009176D9">
              <w:rPr>
                <w:rFonts w:ascii="Arial" w:hAnsi="Arial" w:cs="Arial"/>
                <w:b/>
              </w:rPr>
              <w:t>Referencia:</w:t>
            </w:r>
          </w:p>
        </w:tc>
        <w:tc>
          <w:tcPr>
            <w:tcW w:w="7369" w:type="dxa"/>
            <w:shd w:val="clear" w:color="auto" w:fill="auto"/>
          </w:tcPr>
          <w:p w14:paraId="44B14FD3" w14:textId="77777777" w:rsidR="007F37CA" w:rsidRPr="009176D9" w:rsidRDefault="007F37CA" w:rsidP="005A0868">
            <w:pPr>
              <w:tabs>
                <w:tab w:val="left" w:pos="119"/>
              </w:tabs>
              <w:rPr>
                <w:rFonts w:ascii="Arial" w:hAnsi="Arial" w:cs="Arial"/>
              </w:rPr>
            </w:pPr>
            <w:r w:rsidRPr="009176D9">
              <w:rPr>
                <w:rFonts w:ascii="Arial" w:eastAsia="Arial" w:hAnsi="Arial" w:cs="Arial"/>
              </w:rPr>
              <w:t>ACCIÓN DE TUTELA</w:t>
            </w:r>
          </w:p>
        </w:tc>
      </w:tr>
      <w:tr w:rsidR="007F37CA" w:rsidRPr="009176D9" w14:paraId="6DA4D2C6" w14:textId="77777777" w:rsidTr="009A7D3C">
        <w:trPr>
          <w:gridAfter w:val="1"/>
          <w:wAfter w:w="10" w:type="dxa"/>
          <w:trHeight w:val="264"/>
        </w:trPr>
        <w:tc>
          <w:tcPr>
            <w:tcW w:w="2001" w:type="dxa"/>
            <w:shd w:val="clear" w:color="auto" w:fill="auto"/>
          </w:tcPr>
          <w:p w14:paraId="58D87284" w14:textId="77777777" w:rsidR="007F37CA" w:rsidRPr="009176D9" w:rsidRDefault="007F37CA" w:rsidP="005A0868">
            <w:pPr>
              <w:rPr>
                <w:rFonts w:ascii="Arial" w:hAnsi="Arial" w:cs="Arial"/>
              </w:rPr>
            </w:pPr>
            <w:r w:rsidRPr="009176D9">
              <w:rPr>
                <w:rFonts w:ascii="Arial" w:hAnsi="Arial" w:cs="Arial"/>
                <w:b/>
              </w:rPr>
              <w:t>Radicación:</w:t>
            </w:r>
          </w:p>
        </w:tc>
        <w:tc>
          <w:tcPr>
            <w:tcW w:w="7369" w:type="dxa"/>
            <w:shd w:val="clear" w:color="auto" w:fill="auto"/>
          </w:tcPr>
          <w:p w14:paraId="02AE23EC" w14:textId="52F66F64" w:rsidR="007F37CA" w:rsidRPr="009176D9" w:rsidRDefault="007F37CA" w:rsidP="005A0868">
            <w:pPr>
              <w:tabs>
                <w:tab w:val="left" w:pos="1985"/>
              </w:tabs>
              <w:ind w:hanging="2"/>
              <w:rPr>
                <w:rFonts w:ascii="Arial" w:eastAsia="Arial" w:hAnsi="Arial" w:cs="Arial"/>
              </w:rPr>
            </w:pPr>
            <w:r>
              <w:rPr>
                <w:rFonts w:ascii="Arial" w:eastAsia="Arial" w:hAnsi="Arial" w:cs="Arial"/>
              </w:rPr>
              <w:t>11001-03-15-000-</w:t>
            </w:r>
            <w:bookmarkStart w:id="2" w:name="_GoBack"/>
            <w:r>
              <w:rPr>
                <w:rFonts w:ascii="Arial" w:eastAsia="Arial" w:hAnsi="Arial" w:cs="Arial"/>
              </w:rPr>
              <w:t>2020-01982-00</w:t>
            </w:r>
            <w:bookmarkEnd w:id="2"/>
          </w:p>
        </w:tc>
      </w:tr>
      <w:tr w:rsidR="007F37CA" w:rsidRPr="009176D9" w14:paraId="17CBF98B" w14:textId="77777777" w:rsidTr="009A7D3C">
        <w:trPr>
          <w:gridAfter w:val="1"/>
          <w:wAfter w:w="10" w:type="dxa"/>
          <w:trHeight w:val="277"/>
        </w:trPr>
        <w:tc>
          <w:tcPr>
            <w:tcW w:w="2001" w:type="dxa"/>
            <w:shd w:val="clear" w:color="auto" w:fill="auto"/>
          </w:tcPr>
          <w:p w14:paraId="6736DF0E" w14:textId="77777777" w:rsidR="007F37CA" w:rsidRPr="009176D9" w:rsidRDefault="007F37CA" w:rsidP="005A0868">
            <w:pPr>
              <w:rPr>
                <w:rFonts w:ascii="Arial" w:hAnsi="Arial" w:cs="Arial"/>
              </w:rPr>
            </w:pPr>
            <w:r w:rsidRPr="009176D9">
              <w:rPr>
                <w:rFonts w:ascii="Arial" w:hAnsi="Arial" w:cs="Arial"/>
                <w:b/>
              </w:rPr>
              <w:t>Demandante:</w:t>
            </w:r>
          </w:p>
        </w:tc>
        <w:tc>
          <w:tcPr>
            <w:tcW w:w="7369" w:type="dxa"/>
            <w:shd w:val="clear" w:color="auto" w:fill="auto"/>
          </w:tcPr>
          <w:p w14:paraId="3F1806DC" w14:textId="12A6AE7B" w:rsidR="007F37CA" w:rsidRPr="009176D9" w:rsidRDefault="007F37CA" w:rsidP="005A0868">
            <w:pPr>
              <w:rPr>
                <w:rFonts w:ascii="Arial" w:hAnsi="Arial" w:cs="Arial"/>
              </w:rPr>
            </w:pPr>
            <w:r>
              <w:rPr>
                <w:rFonts w:ascii="Arial" w:eastAsia="Arial" w:hAnsi="Arial" w:cs="Arial"/>
              </w:rPr>
              <w:t xml:space="preserve">EVERTO RUIZ ROMERO  </w:t>
            </w:r>
          </w:p>
        </w:tc>
      </w:tr>
      <w:tr w:rsidR="007F37CA" w:rsidRPr="009176D9" w14:paraId="0CF49195" w14:textId="77777777" w:rsidTr="009A7D3C">
        <w:trPr>
          <w:gridAfter w:val="1"/>
          <w:wAfter w:w="10" w:type="dxa"/>
          <w:trHeight w:val="277"/>
        </w:trPr>
        <w:tc>
          <w:tcPr>
            <w:tcW w:w="2001" w:type="dxa"/>
            <w:shd w:val="clear" w:color="auto" w:fill="auto"/>
          </w:tcPr>
          <w:p w14:paraId="07311840" w14:textId="77777777" w:rsidR="007F37CA" w:rsidRPr="009176D9" w:rsidRDefault="007F37CA" w:rsidP="005A0868">
            <w:pPr>
              <w:rPr>
                <w:rFonts w:ascii="Arial" w:hAnsi="Arial" w:cs="Arial"/>
              </w:rPr>
            </w:pPr>
            <w:r w:rsidRPr="009176D9">
              <w:rPr>
                <w:rFonts w:ascii="Arial" w:hAnsi="Arial" w:cs="Arial"/>
                <w:b/>
              </w:rPr>
              <w:t>Demandado:</w:t>
            </w:r>
          </w:p>
        </w:tc>
        <w:tc>
          <w:tcPr>
            <w:tcW w:w="7369" w:type="dxa"/>
            <w:shd w:val="clear" w:color="auto" w:fill="auto"/>
          </w:tcPr>
          <w:p w14:paraId="017BFF0F" w14:textId="3541A41F" w:rsidR="007F37CA" w:rsidRPr="00BC0F01" w:rsidRDefault="007F37CA" w:rsidP="005A0868">
            <w:pPr>
              <w:tabs>
                <w:tab w:val="left" w:pos="1985"/>
              </w:tabs>
              <w:ind w:left="1985" w:right="51" w:hanging="1985"/>
              <w:rPr>
                <w:rFonts w:ascii="Arial" w:eastAsia="Arial" w:hAnsi="Arial" w:cs="Arial"/>
              </w:rPr>
            </w:pPr>
            <w:r>
              <w:rPr>
                <w:rFonts w:ascii="Arial" w:eastAsia="Arial" w:hAnsi="Arial" w:cs="Arial"/>
              </w:rPr>
              <w:t>CONSEJO DE ESTADO, SECCIÓN TERCERA, SUBSECCIÓN “A”</w:t>
            </w:r>
          </w:p>
        </w:tc>
      </w:tr>
      <w:tr w:rsidR="007F37CA" w:rsidRPr="009176D9" w14:paraId="156D4ACD" w14:textId="77777777" w:rsidTr="009A7D3C">
        <w:trPr>
          <w:trHeight w:val="264"/>
        </w:trPr>
        <w:tc>
          <w:tcPr>
            <w:tcW w:w="9380" w:type="dxa"/>
            <w:gridSpan w:val="3"/>
            <w:shd w:val="clear" w:color="auto" w:fill="auto"/>
          </w:tcPr>
          <w:p w14:paraId="1D81BE46" w14:textId="77777777" w:rsidR="007F37CA" w:rsidRPr="009176D9" w:rsidRDefault="007F37CA" w:rsidP="005A0868">
            <w:pPr>
              <w:rPr>
                <w:rFonts w:ascii="Arial" w:hAnsi="Arial" w:cs="Arial"/>
              </w:rPr>
            </w:pPr>
          </w:p>
        </w:tc>
      </w:tr>
      <w:tr w:rsidR="007F37CA" w:rsidRPr="009176D9" w14:paraId="0064D694" w14:textId="77777777" w:rsidTr="009A7D3C">
        <w:trPr>
          <w:gridAfter w:val="1"/>
          <w:wAfter w:w="10" w:type="dxa"/>
          <w:trHeight w:val="277"/>
        </w:trPr>
        <w:tc>
          <w:tcPr>
            <w:tcW w:w="2001" w:type="dxa"/>
            <w:shd w:val="clear" w:color="auto" w:fill="auto"/>
          </w:tcPr>
          <w:p w14:paraId="1CDB619F" w14:textId="77777777" w:rsidR="007F37CA" w:rsidRPr="009176D9" w:rsidRDefault="007F37CA" w:rsidP="005A0868">
            <w:pPr>
              <w:rPr>
                <w:rFonts w:ascii="Arial" w:hAnsi="Arial" w:cs="Arial"/>
              </w:rPr>
            </w:pPr>
            <w:r w:rsidRPr="009176D9">
              <w:rPr>
                <w:rFonts w:ascii="Arial" w:hAnsi="Arial" w:cs="Arial"/>
                <w:b/>
              </w:rPr>
              <w:t>Temas:</w:t>
            </w:r>
          </w:p>
        </w:tc>
        <w:tc>
          <w:tcPr>
            <w:tcW w:w="7369" w:type="dxa"/>
            <w:shd w:val="clear" w:color="auto" w:fill="auto"/>
          </w:tcPr>
          <w:p w14:paraId="0C0DA26A" w14:textId="3EBE1D08" w:rsidR="007F37CA" w:rsidRPr="00F33ED7" w:rsidRDefault="007F37CA" w:rsidP="005A0868">
            <w:pPr>
              <w:tabs>
                <w:tab w:val="left" w:pos="1985"/>
              </w:tabs>
              <w:ind w:right="51"/>
              <w:rPr>
                <w:rFonts w:ascii="Arial" w:eastAsia="Arial" w:hAnsi="Arial" w:cs="Arial"/>
              </w:rPr>
            </w:pPr>
            <w:r w:rsidRPr="00A653ED">
              <w:rPr>
                <w:rFonts w:ascii="Arial" w:eastAsia="Arial" w:hAnsi="Arial" w:cs="Arial"/>
              </w:rPr>
              <w:t>Acción de tutela contra providencia judicial. Requisitos generales de procedibilidad de la acción. La inmediatez</w:t>
            </w:r>
            <w:r>
              <w:rPr>
                <w:rFonts w:ascii="Arial" w:eastAsia="Arial" w:hAnsi="Arial" w:cs="Arial"/>
              </w:rPr>
              <w:t>.</w:t>
            </w:r>
            <w:r w:rsidR="00BC0F01">
              <w:rPr>
                <w:rFonts w:ascii="Arial" w:eastAsia="Arial" w:hAnsi="Arial" w:cs="Arial"/>
              </w:rPr>
              <w:t xml:space="preserve"> – Medio de control de reparación directa por privación injusta de la libertad.</w:t>
            </w:r>
          </w:p>
          <w:p w14:paraId="6111BBF7" w14:textId="77777777" w:rsidR="007F37CA" w:rsidRPr="009176D9" w:rsidRDefault="007F37CA" w:rsidP="005A0868">
            <w:pPr>
              <w:rPr>
                <w:rFonts w:ascii="Arial" w:hAnsi="Arial" w:cs="Arial"/>
              </w:rPr>
            </w:pPr>
          </w:p>
        </w:tc>
      </w:tr>
    </w:tbl>
    <w:bookmarkEnd w:id="0"/>
    <w:bookmarkEnd w:id="1"/>
    <w:p w14:paraId="5CB722E6" w14:textId="77777777" w:rsidR="004811A7" w:rsidRDefault="007632C5" w:rsidP="005A0868">
      <w:pPr>
        <w:pBdr>
          <w:bottom w:val="single" w:sz="12" w:space="0" w:color="000000"/>
        </w:pBdr>
        <w:spacing w:line="360" w:lineRule="auto"/>
        <w:rPr>
          <w:rFonts w:ascii="Arial" w:eastAsia="Arial" w:hAnsi="Arial" w:cs="Arial"/>
        </w:rPr>
      </w:pPr>
      <w:r>
        <w:rPr>
          <w:rFonts w:ascii="Arial" w:eastAsia="Arial" w:hAnsi="Arial" w:cs="Arial"/>
          <w:b/>
        </w:rPr>
        <w:t>SENTENCIA DE PRIMERA INSTANCIA</w:t>
      </w:r>
    </w:p>
    <w:p w14:paraId="78C2C2C5" w14:textId="77777777" w:rsidR="004811A7" w:rsidRDefault="004811A7" w:rsidP="005A0868">
      <w:pPr>
        <w:rPr>
          <w:rFonts w:ascii="Arial" w:eastAsia="Arial" w:hAnsi="Arial" w:cs="Arial"/>
        </w:rPr>
      </w:pPr>
    </w:p>
    <w:p w14:paraId="62B6EB03" w14:textId="424BB91D" w:rsidR="004811A7" w:rsidRDefault="007632C5" w:rsidP="005A0868">
      <w:pPr>
        <w:ind w:right="51"/>
        <w:rPr>
          <w:rFonts w:ascii="Arial" w:eastAsia="Arial" w:hAnsi="Arial" w:cs="Arial"/>
        </w:rPr>
      </w:pPr>
      <w:r>
        <w:rPr>
          <w:rFonts w:ascii="Arial" w:eastAsia="Arial" w:hAnsi="Arial" w:cs="Arial"/>
        </w:rPr>
        <w:t xml:space="preserve">Decide la Sala la acción de tutela instaurada por </w:t>
      </w:r>
      <w:r w:rsidR="00F20C8C">
        <w:rPr>
          <w:rFonts w:ascii="Arial" w:eastAsia="Arial" w:hAnsi="Arial" w:cs="Arial"/>
          <w:i/>
        </w:rPr>
        <w:t>Everto Ruiz Romero</w:t>
      </w:r>
      <w:r>
        <w:rPr>
          <w:rFonts w:ascii="Arial" w:eastAsia="Arial" w:hAnsi="Arial" w:cs="Arial"/>
        </w:rPr>
        <w:t>, de acuerdo con el Decreto 1983 de 2017.</w:t>
      </w:r>
    </w:p>
    <w:p w14:paraId="1E62BE37" w14:textId="77777777" w:rsidR="004811A7" w:rsidRDefault="004811A7" w:rsidP="005A0868">
      <w:pPr>
        <w:jc w:val="center"/>
        <w:rPr>
          <w:rFonts w:ascii="Arial" w:eastAsia="Arial" w:hAnsi="Arial" w:cs="Arial"/>
        </w:rPr>
      </w:pPr>
    </w:p>
    <w:p w14:paraId="11EB2E11" w14:textId="0083211B" w:rsidR="004811A7" w:rsidRDefault="007632C5" w:rsidP="005A0868">
      <w:pPr>
        <w:keepNext/>
        <w:tabs>
          <w:tab w:val="left" w:pos="1080"/>
          <w:tab w:val="left" w:pos="3119"/>
        </w:tabs>
        <w:jc w:val="center"/>
        <w:rPr>
          <w:rFonts w:ascii="Arial" w:eastAsia="Arial" w:hAnsi="Arial" w:cs="Arial"/>
          <w:b/>
        </w:rPr>
      </w:pPr>
      <w:r>
        <w:rPr>
          <w:rFonts w:ascii="Arial" w:eastAsia="Arial" w:hAnsi="Arial" w:cs="Arial"/>
          <w:b/>
        </w:rPr>
        <w:t>ANTECEDENTES</w:t>
      </w:r>
    </w:p>
    <w:p w14:paraId="1994582E" w14:textId="77777777" w:rsidR="004811A7" w:rsidRDefault="004811A7" w:rsidP="005A0868">
      <w:pPr>
        <w:rPr>
          <w:rFonts w:ascii="Arial" w:eastAsia="Arial" w:hAnsi="Arial" w:cs="Arial"/>
        </w:rPr>
      </w:pPr>
    </w:p>
    <w:p w14:paraId="6B078B2A" w14:textId="77777777" w:rsidR="004811A7" w:rsidRDefault="007632C5" w:rsidP="005A0868">
      <w:pPr>
        <w:rPr>
          <w:rFonts w:ascii="Arial" w:eastAsia="Arial" w:hAnsi="Arial" w:cs="Arial"/>
        </w:rPr>
      </w:pPr>
      <w:r>
        <w:rPr>
          <w:rFonts w:ascii="Arial" w:eastAsia="Arial" w:hAnsi="Arial" w:cs="Arial"/>
          <w:b/>
        </w:rPr>
        <w:t xml:space="preserve">1. </w:t>
      </w:r>
      <w:r>
        <w:rPr>
          <w:rFonts w:ascii="Arial" w:eastAsia="Arial" w:hAnsi="Arial" w:cs="Arial"/>
          <w:b/>
        </w:rPr>
        <w:tab/>
        <w:t>Pretensiones</w:t>
      </w:r>
    </w:p>
    <w:p w14:paraId="414954A9" w14:textId="77777777" w:rsidR="00BC0F01" w:rsidRDefault="00BC0F01" w:rsidP="005A0868">
      <w:pPr>
        <w:rPr>
          <w:rFonts w:ascii="Arial" w:eastAsia="Arial" w:hAnsi="Arial" w:cs="Arial"/>
        </w:rPr>
      </w:pPr>
    </w:p>
    <w:p w14:paraId="1B72BBC7" w14:textId="023D8195" w:rsidR="004811A7" w:rsidRPr="00BC0F01" w:rsidRDefault="00BC0F01" w:rsidP="005A0868">
      <w:pPr>
        <w:rPr>
          <w:rFonts w:ascii="Arial" w:eastAsia="Arial" w:hAnsi="Arial" w:cs="Arial"/>
        </w:rPr>
      </w:pPr>
      <w:r>
        <w:rPr>
          <w:rFonts w:ascii="Arial" w:eastAsia="Arial" w:hAnsi="Arial" w:cs="Arial"/>
        </w:rPr>
        <w:t>El 15 de mayo de 2020</w:t>
      </w:r>
      <w:r>
        <w:rPr>
          <w:rFonts w:ascii="Arial" w:eastAsia="Arial" w:hAnsi="Arial" w:cs="Arial"/>
          <w:vertAlign w:val="superscript"/>
        </w:rPr>
        <w:footnoteReference w:id="1"/>
      </w:r>
      <w:r>
        <w:rPr>
          <w:rFonts w:ascii="Arial" w:eastAsia="Arial" w:hAnsi="Arial" w:cs="Arial"/>
        </w:rPr>
        <w:t xml:space="preserve">, el señor Everto Ruiz Romero, por conducto de apoderado judicial, instauró acción de tutela contra el Consejo de Estado, Sección Tercera, Subsección “A”, porque considera que esta autoridad vulneró su derecho fundamental al debido proceso y presunción de inocencia, al negar las pretensiones del medio de control de reparación directa con radicación No. </w:t>
      </w:r>
      <w:bookmarkStart w:id="3" w:name="_Hlk48292106"/>
      <w:r>
        <w:rPr>
          <w:rFonts w:ascii="Arial" w:eastAsia="Arial" w:hAnsi="Arial" w:cs="Arial"/>
        </w:rPr>
        <w:t xml:space="preserve">76001-23-31-000-2006-03055-01 </w:t>
      </w:r>
      <w:r w:rsidRPr="00B71C92">
        <w:rPr>
          <w:rFonts w:ascii="Arial" w:eastAsia="Arial" w:hAnsi="Arial" w:cs="Arial"/>
        </w:rPr>
        <w:t>(</w:t>
      </w:r>
      <w:r>
        <w:rPr>
          <w:rFonts w:ascii="Arial" w:eastAsia="Arial" w:hAnsi="Arial" w:cs="Arial"/>
        </w:rPr>
        <w:t>51013</w:t>
      </w:r>
      <w:r w:rsidRPr="00D97E1A">
        <w:rPr>
          <w:rFonts w:ascii="Arial" w:eastAsia="Arial" w:hAnsi="Arial" w:cs="Arial"/>
        </w:rPr>
        <w:t>)</w:t>
      </w:r>
      <w:bookmarkEnd w:id="3"/>
      <w:r w:rsidRPr="00D97E1A">
        <w:rPr>
          <w:rFonts w:ascii="Arial" w:eastAsia="Arial" w:hAnsi="Arial" w:cs="Arial"/>
        </w:rPr>
        <w:t>, aduciendo la falta de acreditación del elemento de antijuridicidad del daño.</w:t>
      </w:r>
      <w:r>
        <w:rPr>
          <w:rFonts w:ascii="Arial" w:eastAsia="Arial" w:hAnsi="Arial" w:cs="Arial"/>
        </w:rPr>
        <w:t xml:space="preserve"> En consecuencia, formuló las siguientes pretensiones:</w:t>
      </w:r>
      <w:r w:rsidR="007632C5">
        <w:rPr>
          <w:rFonts w:ascii="Arial" w:eastAsia="Arial" w:hAnsi="Arial" w:cs="Arial"/>
        </w:rPr>
        <w:t xml:space="preserve"> </w:t>
      </w:r>
    </w:p>
    <w:p w14:paraId="1B9A7BF7" w14:textId="77777777" w:rsidR="004811A7" w:rsidRDefault="004811A7" w:rsidP="005A0868">
      <w:pPr>
        <w:pBdr>
          <w:top w:val="nil"/>
          <w:left w:val="nil"/>
          <w:bottom w:val="nil"/>
          <w:right w:val="nil"/>
          <w:between w:val="nil"/>
        </w:pBdr>
        <w:rPr>
          <w:rFonts w:ascii="Arial" w:eastAsia="Arial" w:hAnsi="Arial" w:cs="Arial"/>
          <w:color w:val="000000"/>
        </w:rPr>
      </w:pPr>
    </w:p>
    <w:p w14:paraId="55C2A271" w14:textId="7BADEB94" w:rsidR="008F0EDD" w:rsidRPr="005A0868" w:rsidRDefault="007632C5" w:rsidP="005A0868">
      <w:pPr>
        <w:pBdr>
          <w:top w:val="nil"/>
          <w:left w:val="nil"/>
          <w:bottom w:val="nil"/>
          <w:right w:val="nil"/>
          <w:between w:val="nil"/>
        </w:pBdr>
        <w:ind w:left="567" w:right="567"/>
        <w:rPr>
          <w:rFonts w:ascii="Arial" w:eastAsia="Arial" w:hAnsi="Arial" w:cs="Arial"/>
          <w:i/>
          <w:sz w:val="22"/>
          <w:szCs w:val="22"/>
        </w:rPr>
      </w:pPr>
      <w:r>
        <w:rPr>
          <w:rFonts w:ascii="Arial" w:eastAsia="Arial" w:hAnsi="Arial" w:cs="Arial"/>
          <w:i/>
          <w:color w:val="000000"/>
          <w:sz w:val="22"/>
          <w:szCs w:val="22"/>
        </w:rPr>
        <w:t>“</w:t>
      </w:r>
      <w:r w:rsidR="008C156A">
        <w:rPr>
          <w:rFonts w:ascii="Arial" w:eastAsia="Arial" w:hAnsi="Arial" w:cs="Arial"/>
          <w:b/>
          <w:bCs/>
          <w:i/>
          <w:sz w:val="22"/>
          <w:szCs w:val="22"/>
        </w:rPr>
        <w:t>Primero. -</w:t>
      </w:r>
      <w:r w:rsidR="008F0EDD">
        <w:rPr>
          <w:rFonts w:ascii="Arial" w:eastAsia="Arial" w:hAnsi="Arial" w:cs="Arial"/>
          <w:b/>
          <w:bCs/>
          <w:i/>
          <w:sz w:val="22"/>
          <w:szCs w:val="22"/>
        </w:rPr>
        <w:t xml:space="preserve"> </w:t>
      </w:r>
      <w:r w:rsidR="008F0EDD">
        <w:rPr>
          <w:rFonts w:ascii="Arial" w:eastAsia="Arial" w:hAnsi="Arial" w:cs="Arial"/>
          <w:i/>
          <w:sz w:val="22"/>
          <w:szCs w:val="22"/>
        </w:rPr>
        <w:t>AMPARAR los derechos fundamentales al debido proceso, presunción de inocencia y libertad de mis poderdantes.</w:t>
      </w:r>
    </w:p>
    <w:p w14:paraId="14CD9035" w14:textId="77777777" w:rsidR="00BC0F01" w:rsidRDefault="00BC0F01" w:rsidP="005A0868">
      <w:pPr>
        <w:pBdr>
          <w:top w:val="nil"/>
          <w:left w:val="nil"/>
          <w:bottom w:val="nil"/>
          <w:right w:val="nil"/>
          <w:between w:val="nil"/>
        </w:pBdr>
        <w:ind w:left="567" w:right="567"/>
        <w:rPr>
          <w:rFonts w:ascii="Arial" w:eastAsia="Arial" w:hAnsi="Arial" w:cs="Arial"/>
          <w:i/>
          <w:color w:val="000000"/>
          <w:sz w:val="22"/>
          <w:szCs w:val="22"/>
        </w:rPr>
      </w:pPr>
    </w:p>
    <w:p w14:paraId="669D30AF" w14:textId="5A339941" w:rsidR="00E53828" w:rsidRDefault="008C156A" w:rsidP="005A0868">
      <w:pPr>
        <w:pBdr>
          <w:top w:val="nil"/>
          <w:left w:val="nil"/>
          <w:bottom w:val="nil"/>
          <w:right w:val="nil"/>
          <w:between w:val="nil"/>
        </w:pBdr>
        <w:ind w:left="567" w:right="567"/>
        <w:rPr>
          <w:rFonts w:ascii="Arial" w:eastAsia="Arial" w:hAnsi="Arial" w:cs="Arial"/>
          <w:i/>
          <w:color w:val="000000"/>
          <w:sz w:val="22"/>
          <w:szCs w:val="22"/>
        </w:rPr>
      </w:pPr>
      <w:r>
        <w:rPr>
          <w:rFonts w:ascii="Arial" w:eastAsia="Arial" w:hAnsi="Arial" w:cs="Arial"/>
          <w:b/>
          <w:bCs/>
          <w:i/>
          <w:color w:val="000000"/>
          <w:sz w:val="22"/>
          <w:szCs w:val="22"/>
        </w:rPr>
        <w:t>Segundo. -</w:t>
      </w:r>
      <w:r w:rsidR="008F0EDD">
        <w:rPr>
          <w:rFonts w:ascii="Arial" w:eastAsia="Arial" w:hAnsi="Arial" w:cs="Arial"/>
          <w:b/>
          <w:bCs/>
          <w:i/>
          <w:color w:val="000000"/>
          <w:sz w:val="22"/>
          <w:szCs w:val="22"/>
        </w:rPr>
        <w:t xml:space="preserve"> </w:t>
      </w:r>
      <w:r w:rsidR="008F0EDD" w:rsidRPr="008F0EDD">
        <w:rPr>
          <w:rFonts w:ascii="Arial" w:eastAsia="Arial" w:hAnsi="Arial" w:cs="Arial"/>
          <w:i/>
          <w:color w:val="000000"/>
          <w:sz w:val="22"/>
          <w:szCs w:val="22"/>
        </w:rPr>
        <w:t xml:space="preserve">Ordenar dejar </w:t>
      </w:r>
      <w:r w:rsidR="008F0EDD">
        <w:rPr>
          <w:rFonts w:ascii="Arial" w:eastAsia="Arial" w:hAnsi="Arial" w:cs="Arial"/>
          <w:i/>
          <w:color w:val="000000"/>
          <w:sz w:val="22"/>
          <w:szCs w:val="22"/>
        </w:rPr>
        <w:t xml:space="preserve">sin efecto la Sentencia de Segunda Instancia, del 28 de agosto de 2019, emitida por la Magistrada Ponente Doctora </w:t>
      </w:r>
      <w:r w:rsidR="005014DC">
        <w:rPr>
          <w:rFonts w:ascii="Arial" w:eastAsia="Arial" w:hAnsi="Arial" w:cs="Arial"/>
          <w:i/>
          <w:color w:val="000000"/>
          <w:sz w:val="22"/>
          <w:szCs w:val="22"/>
        </w:rPr>
        <w:t xml:space="preserve">MARÍA </w:t>
      </w:r>
      <w:r w:rsidR="008F0EDD">
        <w:rPr>
          <w:rFonts w:ascii="Arial" w:eastAsia="Arial" w:hAnsi="Arial" w:cs="Arial"/>
          <w:i/>
          <w:color w:val="000000"/>
          <w:sz w:val="22"/>
          <w:szCs w:val="22"/>
        </w:rPr>
        <w:t xml:space="preserve">ADRIANA MARÍN, adscrita a la Sección Tercera Subsección A del Honorable Consejo de Estado, emitida dentro del proceso radicado bajo No. </w:t>
      </w:r>
      <w:r w:rsidR="008F0EDD" w:rsidRPr="008F0EDD">
        <w:rPr>
          <w:rFonts w:ascii="Arial" w:eastAsia="Arial" w:hAnsi="Arial" w:cs="Arial"/>
          <w:i/>
          <w:color w:val="000000"/>
          <w:sz w:val="22"/>
          <w:szCs w:val="22"/>
        </w:rPr>
        <w:t>76001-23-31-000-2006-03055-01 (51013)</w:t>
      </w:r>
      <w:r w:rsidR="00E53828">
        <w:rPr>
          <w:rFonts w:ascii="Arial" w:eastAsia="Arial" w:hAnsi="Arial" w:cs="Arial"/>
          <w:i/>
          <w:color w:val="000000"/>
          <w:sz w:val="22"/>
          <w:szCs w:val="22"/>
        </w:rPr>
        <w:t>.</w:t>
      </w:r>
    </w:p>
    <w:p w14:paraId="10926ED4" w14:textId="43ACE373" w:rsidR="004811A7" w:rsidRDefault="008C156A" w:rsidP="00BC0F01">
      <w:pPr>
        <w:pBdr>
          <w:top w:val="nil"/>
          <w:left w:val="nil"/>
          <w:bottom w:val="nil"/>
          <w:right w:val="nil"/>
          <w:between w:val="nil"/>
        </w:pBdr>
        <w:ind w:left="567" w:right="567"/>
        <w:rPr>
          <w:rFonts w:ascii="Arial" w:eastAsia="Arial" w:hAnsi="Arial" w:cs="Arial"/>
          <w:color w:val="000000"/>
          <w:sz w:val="22"/>
          <w:szCs w:val="22"/>
        </w:rPr>
      </w:pPr>
      <w:r>
        <w:rPr>
          <w:rFonts w:ascii="Arial" w:eastAsia="Arial" w:hAnsi="Arial" w:cs="Arial"/>
          <w:b/>
          <w:bCs/>
          <w:i/>
          <w:color w:val="000000"/>
          <w:sz w:val="22"/>
          <w:szCs w:val="22"/>
        </w:rPr>
        <w:lastRenderedPageBreak/>
        <w:t>Tercero. -</w:t>
      </w:r>
      <w:r w:rsidR="00E53828">
        <w:rPr>
          <w:rFonts w:ascii="Arial" w:eastAsia="Arial" w:hAnsi="Arial" w:cs="Arial"/>
          <w:b/>
          <w:bCs/>
          <w:i/>
          <w:color w:val="000000"/>
          <w:sz w:val="22"/>
          <w:szCs w:val="22"/>
        </w:rPr>
        <w:t xml:space="preserve"> </w:t>
      </w:r>
      <w:r w:rsidR="00E53828">
        <w:rPr>
          <w:rFonts w:ascii="Arial" w:eastAsia="Arial" w:hAnsi="Arial" w:cs="Arial"/>
          <w:i/>
          <w:color w:val="000000"/>
          <w:sz w:val="22"/>
          <w:szCs w:val="22"/>
        </w:rPr>
        <w:t>Ordenar se profiera un fallo de reemplazo en el que se acceda a las pretensiones de la demanda.</w:t>
      </w:r>
      <w:r w:rsidR="007632C5">
        <w:rPr>
          <w:rFonts w:ascii="Arial" w:eastAsia="Arial" w:hAnsi="Arial" w:cs="Arial"/>
          <w:i/>
          <w:color w:val="000000"/>
          <w:sz w:val="22"/>
          <w:szCs w:val="22"/>
        </w:rPr>
        <w:t>”</w:t>
      </w:r>
      <w:r w:rsidR="007632C5">
        <w:rPr>
          <w:rFonts w:ascii="Arial" w:eastAsia="Arial" w:hAnsi="Arial" w:cs="Arial"/>
          <w:i/>
          <w:sz w:val="22"/>
          <w:szCs w:val="22"/>
          <w:vertAlign w:val="superscript"/>
        </w:rPr>
        <w:footnoteReference w:id="2"/>
      </w:r>
      <w:r w:rsidR="007632C5">
        <w:rPr>
          <w:rFonts w:ascii="Arial" w:eastAsia="Arial" w:hAnsi="Arial" w:cs="Arial"/>
          <w:i/>
          <w:color w:val="000000"/>
          <w:sz w:val="22"/>
          <w:szCs w:val="22"/>
        </w:rPr>
        <w:t xml:space="preserve"> </w:t>
      </w:r>
    </w:p>
    <w:p w14:paraId="5CB2620D" w14:textId="77777777" w:rsidR="004811A7" w:rsidRDefault="004811A7" w:rsidP="005A0868">
      <w:pPr>
        <w:spacing w:line="360" w:lineRule="auto"/>
        <w:rPr>
          <w:rFonts w:ascii="Arial" w:eastAsia="Arial" w:hAnsi="Arial" w:cs="Arial"/>
        </w:rPr>
      </w:pPr>
    </w:p>
    <w:p w14:paraId="42687EEA" w14:textId="77777777" w:rsidR="004811A7" w:rsidRDefault="007632C5" w:rsidP="005A0868">
      <w:pPr>
        <w:rPr>
          <w:rFonts w:ascii="Arial" w:eastAsia="Arial" w:hAnsi="Arial" w:cs="Arial"/>
        </w:rPr>
      </w:pPr>
      <w:r>
        <w:rPr>
          <w:rFonts w:ascii="Arial" w:eastAsia="Arial" w:hAnsi="Arial" w:cs="Arial"/>
          <w:b/>
        </w:rPr>
        <w:t>2.</w:t>
      </w:r>
      <w:r>
        <w:rPr>
          <w:rFonts w:ascii="Arial" w:eastAsia="Arial" w:hAnsi="Arial" w:cs="Arial"/>
          <w:b/>
        </w:rPr>
        <w:tab/>
        <w:t xml:space="preserve">Hechos </w:t>
      </w:r>
    </w:p>
    <w:p w14:paraId="3DD9A9F4" w14:textId="77777777" w:rsidR="004811A7" w:rsidRDefault="004811A7" w:rsidP="005A0868">
      <w:pPr>
        <w:tabs>
          <w:tab w:val="left" w:pos="360"/>
        </w:tabs>
        <w:spacing w:line="360" w:lineRule="auto"/>
        <w:rPr>
          <w:rFonts w:ascii="Arial" w:eastAsia="Arial" w:hAnsi="Arial" w:cs="Arial"/>
        </w:rPr>
      </w:pPr>
    </w:p>
    <w:p w14:paraId="6259D266" w14:textId="653E7381" w:rsidR="004811A7" w:rsidRDefault="007632C5" w:rsidP="005A0868">
      <w:pPr>
        <w:rPr>
          <w:rFonts w:ascii="Arial" w:eastAsia="Arial" w:hAnsi="Arial" w:cs="Arial"/>
        </w:rPr>
      </w:pPr>
      <w:r>
        <w:rPr>
          <w:rFonts w:ascii="Arial" w:eastAsia="Arial" w:hAnsi="Arial" w:cs="Arial"/>
        </w:rPr>
        <w:t>Del expediente se advierten como hechos relevantes los siguientes:</w:t>
      </w:r>
    </w:p>
    <w:p w14:paraId="2AE98E50" w14:textId="77777777" w:rsidR="004811A7" w:rsidRDefault="004811A7" w:rsidP="005A0868">
      <w:pPr>
        <w:rPr>
          <w:rFonts w:ascii="Arial" w:eastAsia="Arial" w:hAnsi="Arial" w:cs="Arial"/>
        </w:rPr>
      </w:pPr>
    </w:p>
    <w:p w14:paraId="750E73C9" w14:textId="6B0FB4AC" w:rsidR="00DB33AC" w:rsidRDefault="00DB33AC" w:rsidP="005A0868">
      <w:pPr>
        <w:rPr>
          <w:rFonts w:ascii="Arial" w:eastAsia="Arial" w:hAnsi="Arial" w:cs="Arial"/>
        </w:rPr>
      </w:pPr>
      <w:r>
        <w:rPr>
          <w:rFonts w:ascii="Arial" w:eastAsia="Arial" w:hAnsi="Arial" w:cs="Arial"/>
        </w:rPr>
        <w:t>2.1.</w:t>
      </w:r>
      <w:r w:rsidR="00D66667">
        <w:rPr>
          <w:rFonts w:ascii="Arial" w:eastAsia="Arial" w:hAnsi="Arial" w:cs="Arial"/>
        </w:rPr>
        <w:tab/>
      </w:r>
      <w:r>
        <w:rPr>
          <w:rFonts w:ascii="Arial" w:eastAsia="Arial" w:hAnsi="Arial" w:cs="Arial"/>
        </w:rPr>
        <w:t xml:space="preserve">En contra del señor </w:t>
      </w:r>
      <w:r w:rsidR="00BC0F01" w:rsidRPr="00BC0F01">
        <w:rPr>
          <w:rFonts w:ascii="Arial" w:eastAsia="Arial" w:hAnsi="Arial" w:cs="Arial"/>
          <w:i/>
          <w:iCs/>
        </w:rPr>
        <w:t xml:space="preserve">Everto </w:t>
      </w:r>
      <w:r w:rsidRPr="00BC0F01">
        <w:rPr>
          <w:rFonts w:ascii="Arial" w:eastAsia="Arial" w:hAnsi="Arial" w:cs="Arial"/>
          <w:i/>
          <w:iCs/>
        </w:rPr>
        <w:t>Ruiz Romero</w:t>
      </w:r>
      <w:r w:rsidR="00BC0F01">
        <w:rPr>
          <w:rFonts w:ascii="Arial" w:eastAsia="Arial" w:hAnsi="Arial" w:cs="Arial"/>
          <w:i/>
          <w:iCs/>
        </w:rPr>
        <w:t xml:space="preserve"> </w:t>
      </w:r>
      <w:r w:rsidR="00BC0F01">
        <w:rPr>
          <w:rFonts w:ascii="Arial" w:eastAsia="Arial" w:hAnsi="Arial" w:cs="Arial"/>
        </w:rPr>
        <w:t>–</w:t>
      </w:r>
      <w:r>
        <w:rPr>
          <w:rFonts w:ascii="Arial" w:eastAsia="Arial" w:hAnsi="Arial" w:cs="Arial"/>
        </w:rPr>
        <w:t>quien trabajaba como agente investigador del Ejército Nacional</w:t>
      </w:r>
      <w:r w:rsidR="00BC0F01">
        <w:rPr>
          <w:rFonts w:ascii="Arial" w:eastAsia="Arial" w:hAnsi="Arial" w:cs="Arial"/>
        </w:rPr>
        <w:t>–</w:t>
      </w:r>
      <w:r>
        <w:rPr>
          <w:rFonts w:ascii="Arial" w:eastAsia="Arial" w:hAnsi="Arial" w:cs="Arial"/>
        </w:rPr>
        <w:t xml:space="preserve">, se instauró denuncia por los delitos de revelación de secreto y prevaricato por omisión. </w:t>
      </w:r>
      <w:r w:rsidR="0086763A">
        <w:rPr>
          <w:rFonts w:ascii="Arial" w:eastAsia="Arial" w:hAnsi="Arial" w:cs="Arial"/>
        </w:rPr>
        <w:t>Por tal motivo</w:t>
      </w:r>
      <w:r>
        <w:rPr>
          <w:rFonts w:ascii="Arial" w:eastAsia="Arial" w:hAnsi="Arial" w:cs="Arial"/>
        </w:rPr>
        <w:t>, fue capturado el 27 de julio de 1995</w:t>
      </w:r>
      <w:r w:rsidR="0086763A">
        <w:rPr>
          <w:rFonts w:ascii="Arial" w:eastAsia="Arial" w:hAnsi="Arial" w:cs="Arial"/>
        </w:rPr>
        <w:t>,</w:t>
      </w:r>
      <w:r>
        <w:rPr>
          <w:rFonts w:ascii="Arial" w:eastAsia="Arial" w:hAnsi="Arial" w:cs="Arial"/>
        </w:rPr>
        <w:t xml:space="preserve"> y en agosto de</w:t>
      </w:r>
      <w:r w:rsidR="0086763A">
        <w:rPr>
          <w:rFonts w:ascii="Arial" w:eastAsia="Arial" w:hAnsi="Arial" w:cs="Arial"/>
        </w:rPr>
        <w:t xml:space="preserve"> ese </w:t>
      </w:r>
      <w:r>
        <w:rPr>
          <w:rFonts w:ascii="Arial" w:eastAsia="Arial" w:hAnsi="Arial" w:cs="Arial"/>
        </w:rPr>
        <w:t>año</w:t>
      </w:r>
      <w:r w:rsidR="0086763A">
        <w:rPr>
          <w:rFonts w:ascii="Arial" w:eastAsia="Arial" w:hAnsi="Arial" w:cs="Arial"/>
        </w:rPr>
        <w:t>,</w:t>
      </w:r>
      <w:r>
        <w:rPr>
          <w:rFonts w:ascii="Arial" w:eastAsia="Arial" w:hAnsi="Arial" w:cs="Arial"/>
        </w:rPr>
        <w:t xml:space="preserve"> el fiscal de conocimiento dictó resolución de acusación e impuso medida de aseguramiento</w:t>
      </w:r>
      <w:r w:rsidR="0086763A">
        <w:rPr>
          <w:rFonts w:ascii="Arial" w:eastAsia="Arial" w:hAnsi="Arial" w:cs="Arial"/>
        </w:rPr>
        <w:t>,</w:t>
      </w:r>
      <w:r>
        <w:rPr>
          <w:rFonts w:ascii="Arial" w:eastAsia="Arial" w:hAnsi="Arial" w:cs="Arial"/>
        </w:rPr>
        <w:t xml:space="preserve"> consistente en detención preventiva en centro de reclusión. </w:t>
      </w:r>
    </w:p>
    <w:p w14:paraId="467CC999" w14:textId="77777777" w:rsidR="00DB33AC" w:rsidRDefault="00DB33AC" w:rsidP="00BC0F01">
      <w:pPr>
        <w:rPr>
          <w:rFonts w:ascii="Arial" w:eastAsia="Arial" w:hAnsi="Arial" w:cs="Arial"/>
        </w:rPr>
      </w:pPr>
    </w:p>
    <w:p w14:paraId="0B2EC6E2" w14:textId="77777777" w:rsidR="0086763A" w:rsidRDefault="0086763A" w:rsidP="00BC0F01">
      <w:pPr>
        <w:rPr>
          <w:rFonts w:ascii="Arial" w:eastAsia="Arial" w:hAnsi="Arial" w:cs="Arial"/>
        </w:rPr>
      </w:pPr>
      <w:r>
        <w:rPr>
          <w:rFonts w:ascii="Arial" w:eastAsia="Arial" w:hAnsi="Arial" w:cs="Arial"/>
        </w:rPr>
        <w:t>2.2.</w:t>
      </w:r>
      <w:r>
        <w:rPr>
          <w:rFonts w:ascii="Arial" w:eastAsia="Arial" w:hAnsi="Arial" w:cs="Arial"/>
        </w:rPr>
        <w:tab/>
        <w:t xml:space="preserve">El accionante fue condenado en </w:t>
      </w:r>
      <w:r w:rsidR="00DB33AC">
        <w:rPr>
          <w:rFonts w:ascii="Arial" w:eastAsia="Arial" w:hAnsi="Arial" w:cs="Arial"/>
        </w:rPr>
        <w:t xml:space="preserve">primera instancia del proceso penal, pero en el curso de la apelación el Tribunal Nacional, a través de providencia del 23 de enero de 1998, </w:t>
      </w:r>
      <w:r>
        <w:rPr>
          <w:rFonts w:ascii="Arial" w:eastAsia="Arial" w:hAnsi="Arial" w:cs="Arial"/>
        </w:rPr>
        <w:t xml:space="preserve">se </w:t>
      </w:r>
      <w:r w:rsidR="00DB33AC">
        <w:rPr>
          <w:rFonts w:ascii="Arial" w:eastAsia="Arial" w:hAnsi="Arial" w:cs="Arial"/>
        </w:rPr>
        <w:t>declaró la nulidad de lo actuado desde la resolución de acusación</w:t>
      </w:r>
      <w:r>
        <w:rPr>
          <w:rFonts w:ascii="Arial" w:eastAsia="Arial" w:hAnsi="Arial" w:cs="Arial"/>
        </w:rPr>
        <w:t>,</w:t>
      </w:r>
      <w:r w:rsidR="00DB33AC">
        <w:rPr>
          <w:rFonts w:ascii="Arial" w:eastAsia="Arial" w:hAnsi="Arial" w:cs="Arial"/>
        </w:rPr>
        <w:t xml:space="preserve"> y </w:t>
      </w:r>
      <w:r>
        <w:rPr>
          <w:rFonts w:ascii="Arial" w:eastAsia="Arial" w:hAnsi="Arial" w:cs="Arial"/>
        </w:rPr>
        <w:t xml:space="preserve">se </w:t>
      </w:r>
      <w:r w:rsidR="00DB33AC">
        <w:rPr>
          <w:rFonts w:ascii="Arial" w:eastAsia="Arial" w:hAnsi="Arial" w:cs="Arial"/>
        </w:rPr>
        <w:t xml:space="preserve">dispuso la libertad provisional del sindicado, debiendo prestar caución y diligencia de compromiso. </w:t>
      </w:r>
    </w:p>
    <w:p w14:paraId="6DDD098C" w14:textId="77777777" w:rsidR="0086763A" w:rsidRDefault="0086763A" w:rsidP="00BC0F01">
      <w:pPr>
        <w:rPr>
          <w:rFonts w:ascii="Arial" w:eastAsia="Arial" w:hAnsi="Arial" w:cs="Arial"/>
        </w:rPr>
      </w:pPr>
    </w:p>
    <w:p w14:paraId="3C4EDBDB" w14:textId="7D392E5B" w:rsidR="00DB33AC" w:rsidRDefault="005A0868" w:rsidP="00BC0F01">
      <w:pPr>
        <w:rPr>
          <w:rFonts w:ascii="Arial" w:eastAsia="Arial" w:hAnsi="Arial" w:cs="Arial"/>
        </w:rPr>
      </w:pPr>
      <w:r>
        <w:rPr>
          <w:rFonts w:ascii="Arial" w:eastAsia="Arial" w:hAnsi="Arial" w:cs="Arial"/>
        </w:rPr>
        <w:t>E</w:t>
      </w:r>
      <w:r w:rsidR="0086763A">
        <w:rPr>
          <w:rFonts w:ascii="Arial" w:eastAsia="Arial" w:hAnsi="Arial" w:cs="Arial"/>
        </w:rPr>
        <w:t xml:space="preserve">stuvo privado de su </w:t>
      </w:r>
      <w:r w:rsidR="00DB33AC">
        <w:rPr>
          <w:rFonts w:ascii="Arial" w:eastAsia="Arial" w:hAnsi="Arial" w:cs="Arial"/>
        </w:rPr>
        <w:t>libertad en centro carcelario entre el 27 de julio de 1995 y el 23 de enero de 1998.</w:t>
      </w:r>
    </w:p>
    <w:p w14:paraId="38554244" w14:textId="77777777" w:rsidR="00DB33AC" w:rsidRDefault="00DB33AC" w:rsidP="00BC0F01">
      <w:pPr>
        <w:rPr>
          <w:rFonts w:ascii="Arial" w:eastAsia="Arial" w:hAnsi="Arial" w:cs="Arial"/>
        </w:rPr>
      </w:pPr>
    </w:p>
    <w:p w14:paraId="39DBFF26" w14:textId="15B45A9D" w:rsidR="00DB33AC" w:rsidRDefault="00DB33AC" w:rsidP="00BC0F01">
      <w:pPr>
        <w:rPr>
          <w:rFonts w:ascii="Arial" w:eastAsia="Arial" w:hAnsi="Arial" w:cs="Arial"/>
        </w:rPr>
      </w:pPr>
      <w:r>
        <w:rPr>
          <w:rFonts w:ascii="Arial" w:eastAsia="Arial" w:hAnsi="Arial" w:cs="Arial"/>
        </w:rPr>
        <w:t>El 4 de diciembre de 2002, la Fiscalía General de la Nación precluyó la investigación a favor de Everto Ruiz Romero</w:t>
      </w:r>
      <w:r w:rsidR="0086763A">
        <w:rPr>
          <w:rFonts w:ascii="Arial" w:eastAsia="Arial" w:hAnsi="Arial" w:cs="Arial"/>
        </w:rPr>
        <w:t>,</w:t>
      </w:r>
      <w:r>
        <w:rPr>
          <w:rFonts w:ascii="Arial" w:eastAsia="Arial" w:hAnsi="Arial" w:cs="Arial"/>
        </w:rPr>
        <w:t xml:space="preserve"> por prescri</w:t>
      </w:r>
      <w:r w:rsidR="00D66667">
        <w:rPr>
          <w:rFonts w:ascii="Arial" w:eastAsia="Arial" w:hAnsi="Arial" w:cs="Arial"/>
        </w:rPr>
        <w:t xml:space="preserve">pción de </w:t>
      </w:r>
      <w:r>
        <w:rPr>
          <w:rFonts w:ascii="Arial" w:eastAsia="Arial" w:hAnsi="Arial" w:cs="Arial"/>
        </w:rPr>
        <w:t xml:space="preserve">la acción penal. Posteriormente, el 12 de septiembre de 2005, el Juzgado 16 Penal del Circuito de Cali cesó el procedimiento penal por la misma razón. </w:t>
      </w:r>
    </w:p>
    <w:p w14:paraId="47D8237B" w14:textId="77777777" w:rsidR="00DB33AC" w:rsidRDefault="00DB33AC" w:rsidP="00BC0F01">
      <w:pPr>
        <w:rPr>
          <w:rFonts w:ascii="Arial" w:eastAsia="Arial" w:hAnsi="Arial" w:cs="Arial"/>
        </w:rPr>
      </w:pPr>
    </w:p>
    <w:p w14:paraId="49D5F4E2" w14:textId="2F486B62" w:rsidR="00DB33AC" w:rsidRDefault="00DB33AC" w:rsidP="00BC0F01">
      <w:pPr>
        <w:rPr>
          <w:rFonts w:ascii="Arial" w:eastAsia="Arial" w:hAnsi="Arial" w:cs="Arial"/>
        </w:rPr>
      </w:pPr>
      <w:r>
        <w:rPr>
          <w:rFonts w:ascii="Arial" w:eastAsia="Arial" w:hAnsi="Arial" w:cs="Arial"/>
        </w:rPr>
        <w:t>2.</w:t>
      </w:r>
      <w:r w:rsidR="005A0868">
        <w:rPr>
          <w:rFonts w:ascii="Arial" w:eastAsia="Arial" w:hAnsi="Arial" w:cs="Arial"/>
        </w:rPr>
        <w:t>3</w:t>
      </w:r>
      <w:r>
        <w:rPr>
          <w:rFonts w:ascii="Arial" w:eastAsia="Arial" w:hAnsi="Arial" w:cs="Arial"/>
        </w:rPr>
        <w:t>.</w:t>
      </w:r>
      <w:r>
        <w:rPr>
          <w:rFonts w:ascii="Arial" w:eastAsia="Arial" w:hAnsi="Arial" w:cs="Arial"/>
        </w:rPr>
        <w:tab/>
        <w:t xml:space="preserve"> </w:t>
      </w:r>
      <w:r w:rsidR="0086763A">
        <w:rPr>
          <w:rFonts w:ascii="Arial" w:eastAsia="Arial" w:hAnsi="Arial" w:cs="Arial"/>
        </w:rPr>
        <w:t xml:space="preserve">Por lo anterior, </w:t>
      </w:r>
      <w:r w:rsidRPr="0086763A">
        <w:rPr>
          <w:rFonts w:ascii="Arial" w:eastAsia="Arial" w:hAnsi="Arial" w:cs="Arial"/>
          <w:i/>
          <w:iCs/>
        </w:rPr>
        <w:t>Everto Ruiz Romero</w:t>
      </w:r>
      <w:r>
        <w:rPr>
          <w:rFonts w:ascii="Arial" w:eastAsia="Arial" w:hAnsi="Arial" w:cs="Arial"/>
        </w:rPr>
        <w:t xml:space="preserve"> y su grupo familiar presentaron demanda en ejercicio del medio de control de reparación directa contra la Nación</w:t>
      </w:r>
      <w:r w:rsidR="0086763A">
        <w:rPr>
          <w:rFonts w:ascii="Arial" w:eastAsia="Arial" w:hAnsi="Arial" w:cs="Arial"/>
        </w:rPr>
        <w:t xml:space="preserve"> –</w:t>
      </w:r>
      <w:r>
        <w:rPr>
          <w:rFonts w:ascii="Arial" w:eastAsia="Arial" w:hAnsi="Arial" w:cs="Arial"/>
        </w:rPr>
        <w:t xml:space="preserve"> Rama judicial, el Ministerio de Defensa</w:t>
      </w:r>
      <w:r w:rsidR="0086763A">
        <w:rPr>
          <w:rFonts w:ascii="Arial" w:eastAsia="Arial" w:hAnsi="Arial" w:cs="Arial"/>
        </w:rPr>
        <w:t xml:space="preserve"> –</w:t>
      </w:r>
      <w:r>
        <w:rPr>
          <w:rFonts w:ascii="Arial" w:eastAsia="Arial" w:hAnsi="Arial" w:cs="Arial"/>
        </w:rPr>
        <w:t xml:space="preserve"> Ejercito Nacional y la Fiscalía General de la Nación</w:t>
      </w:r>
      <w:r w:rsidR="0086763A">
        <w:rPr>
          <w:rFonts w:ascii="Arial" w:eastAsia="Arial" w:hAnsi="Arial" w:cs="Arial"/>
        </w:rPr>
        <w:t xml:space="preserve">, pretendiendo que </w:t>
      </w:r>
      <w:r>
        <w:rPr>
          <w:rFonts w:ascii="Arial" w:eastAsia="Arial" w:hAnsi="Arial" w:cs="Arial"/>
        </w:rPr>
        <w:t xml:space="preserve">se declarara la responsabilidad administrativa y patrimonial de las entidades demandadas, </w:t>
      </w:r>
      <w:r w:rsidR="0086763A">
        <w:rPr>
          <w:rFonts w:ascii="Arial" w:eastAsia="Arial" w:hAnsi="Arial" w:cs="Arial"/>
        </w:rPr>
        <w:t>por</w:t>
      </w:r>
      <w:r>
        <w:rPr>
          <w:rFonts w:ascii="Arial" w:eastAsia="Arial" w:hAnsi="Arial" w:cs="Arial"/>
        </w:rPr>
        <w:t xml:space="preserve"> la privación injusta de la libertad de la que fue objeto el aquí accionante.</w:t>
      </w:r>
    </w:p>
    <w:p w14:paraId="30205BB8" w14:textId="77777777" w:rsidR="00DB33AC" w:rsidRDefault="00DB33AC" w:rsidP="00BC0F01">
      <w:pPr>
        <w:rPr>
          <w:rFonts w:ascii="Arial" w:eastAsia="Arial" w:hAnsi="Arial" w:cs="Arial"/>
        </w:rPr>
      </w:pPr>
    </w:p>
    <w:p w14:paraId="646B5E9C" w14:textId="74F6983D" w:rsidR="00DB33AC" w:rsidRDefault="00DB33AC" w:rsidP="00BC0F01">
      <w:pPr>
        <w:rPr>
          <w:rFonts w:ascii="Arial" w:eastAsia="Arial" w:hAnsi="Arial" w:cs="Arial"/>
        </w:rPr>
      </w:pPr>
      <w:r>
        <w:rPr>
          <w:rFonts w:ascii="Arial" w:eastAsia="Arial" w:hAnsi="Arial" w:cs="Arial"/>
        </w:rPr>
        <w:t>2.</w:t>
      </w:r>
      <w:r w:rsidR="005A0868">
        <w:rPr>
          <w:rFonts w:ascii="Arial" w:eastAsia="Arial" w:hAnsi="Arial" w:cs="Arial"/>
        </w:rPr>
        <w:t>4</w:t>
      </w:r>
      <w:r>
        <w:rPr>
          <w:rFonts w:ascii="Arial" w:eastAsia="Arial" w:hAnsi="Arial" w:cs="Arial"/>
        </w:rPr>
        <w:t>.</w:t>
      </w:r>
      <w:r>
        <w:rPr>
          <w:rFonts w:ascii="Arial" w:eastAsia="Arial" w:hAnsi="Arial" w:cs="Arial"/>
        </w:rPr>
        <w:tab/>
        <w:t>Del asunto conoció en primera instancia, el Tribunal Administrativo del Valle del Cauca</w:t>
      </w:r>
      <w:r w:rsidR="0086763A">
        <w:rPr>
          <w:rFonts w:ascii="Arial" w:eastAsia="Arial" w:hAnsi="Arial" w:cs="Arial"/>
        </w:rPr>
        <w:t>,</w:t>
      </w:r>
      <w:r>
        <w:rPr>
          <w:rFonts w:ascii="Arial" w:eastAsia="Arial" w:hAnsi="Arial" w:cs="Arial"/>
        </w:rPr>
        <w:t xml:space="preserve"> que</w:t>
      </w:r>
      <w:r w:rsidR="0086763A">
        <w:rPr>
          <w:rFonts w:ascii="Arial" w:eastAsia="Arial" w:hAnsi="Arial" w:cs="Arial"/>
        </w:rPr>
        <w:t xml:space="preserve"> mediante</w:t>
      </w:r>
      <w:r>
        <w:rPr>
          <w:rFonts w:ascii="Arial" w:eastAsia="Arial" w:hAnsi="Arial" w:cs="Arial"/>
        </w:rPr>
        <w:t xml:space="preserve"> sentencia del 25 de febrero de 2014, negó las pretensiones de la demanda, porque la privación de la libertad de la que fue objeto el actor no tenía la calidad de antijurídica ni era imputable al Estado.  </w:t>
      </w:r>
    </w:p>
    <w:p w14:paraId="06196C6E" w14:textId="77777777" w:rsidR="00DB33AC" w:rsidRDefault="00DB33AC" w:rsidP="00BC0F01">
      <w:pPr>
        <w:rPr>
          <w:rFonts w:ascii="Arial" w:eastAsia="Arial" w:hAnsi="Arial" w:cs="Arial"/>
        </w:rPr>
      </w:pPr>
    </w:p>
    <w:p w14:paraId="18615EB4" w14:textId="06A0F58E" w:rsidR="00DB33AC" w:rsidRDefault="00DB33AC" w:rsidP="005A0868">
      <w:pPr>
        <w:rPr>
          <w:rFonts w:ascii="Arial" w:eastAsia="Arial" w:hAnsi="Arial" w:cs="Arial"/>
        </w:rPr>
      </w:pPr>
      <w:r>
        <w:rPr>
          <w:rFonts w:ascii="Arial" w:eastAsia="Arial" w:hAnsi="Arial" w:cs="Arial"/>
        </w:rPr>
        <w:t>2.</w:t>
      </w:r>
      <w:r w:rsidR="005A0868">
        <w:rPr>
          <w:rFonts w:ascii="Arial" w:eastAsia="Arial" w:hAnsi="Arial" w:cs="Arial"/>
        </w:rPr>
        <w:t>5</w:t>
      </w:r>
      <w:r>
        <w:rPr>
          <w:rFonts w:ascii="Arial" w:eastAsia="Arial" w:hAnsi="Arial" w:cs="Arial"/>
        </w:rPr>
        <w:t>.</w:t>
      </w:r>
      <w:r>
        <w:rPr>
          <w:rFonts w:ascii="Arial" w:eastAsia="Arial" w:hAnsi="Arial" w:cs="Arial"/>
        </w:rPr>
        <w:tab/>
        <w:t xml:space="preserve">La parte actora interpuso recurso de apelación contra la anterior decisión, cuyo conocimiento correspondió a la Subsección “A” de la Sección Tercera del Consejo de Estado que, mediante sentencia del 28 de agosto de 2019, confirmó la decisión de negar las pretensiones de la demanda. La providencia se notificó por medio de edicto desfijado </w:t>
      </w:r>
      <w:r w:rsidRPr="006E2852">
        <w:rPr>
          <w:rFonts w:ascii="Arial" w:eastAsia="Arial" w:hAnsi="Arial" w:cs="Arial"/>
        </w:rPr>
        <w:t>el 9 de septiembre de 2019.</w:t>
      </w:r>
    </w:p>
    <w:p w14:paraId="2572551E" w14:textId="77777777" w:rsidR="004811A7" w:rsidRDefault="004811A7" w:rsidP="005A0868">
      <w:pPr>
        <w:spacing w:line="360" w:lineRule="auto"/>
        <w:rPr>
          <w:rFonts w:ascii="Arial" w:eastAsia="Arial" w:hAnsi="Arial" w:cs="Arial"/>
        </w:rPr>
      </w:pPr>
    </w:p>
    <w:p w14:paraId="63A54025" w14:textId="0945D461" w:rsidR="004811A7" w:rsidRDefault="007632C5" w:rsidP="005A0868">
      <w:pPr>
        <w:rPr>
          <w:rFonts w:ascii="Arial" w:eastAsia="Arial" w:hAnsi="Arial" w:cs="Arial"/>
        </w:rPr>
      </w:pPr>
      <w:r>
        <w:rPr>
          <w:rFonts w:ascii="Arial" w:eastAsia="Arial" w:hAnsi="Arial" w:cs="Arial"/>
          <w:b/>
        </w:rPr>
        <w:lastRenderedPageBreak/>
        <w:t xml:space="preserve">3. </w:t>
      </w:r>
      <w:r>
        <w:rPr>
          <w:rFonts w:ascii="Arial" w:eastAsia="Arial" w:hAnsi="Arial" w:cs="Arial"/>
          <w:b/>
        </w:rPr>
        <w:tab/>
        <w:t xml:space="preserve">Fundamentos de la </w:t>
      </w:r>
      <w:r w:rsidR="006E2852">
        <w:rPr>
          <w:rFonts w:ascii="Arial" w:eastAsia="Arial" w:hAnsi="Arial" w:cs="Arial"/>
          <w:b/>
        </w:rPr>
        <w:t>acción</w:t>
      </w:r>
    </w:p>
    <w:p w14:paraId="54F0AEBC" w14:textId="77777777" w:rsidR="005A0868" w:rsidRDefault="005A0868" w:rsidP="005A0868">
      <w:pPr>
        <w:rPr>
          <w:rFonts w:ascii="Arial" w:eastAsia="Arial" w:hAnsi="Arial" w:cs="Arial"/>
        </w:rPr>
      </w:pPr>
    </w:p>
    <w:p w14:paraId="7D9069E5" w14:textId="04E0B0EF" w:rsidR="006E2852" w:rsidRDefault="005014DC" w:rsidP="005A0868">
      <w:pPr>
        <w:rPr>
          <w:rFonts w:ascii="Arial" w:eastAsia="Arial" w:hAnsi="Arial" w:cs="Arial"/>
        </w:rPr>
      </w:pPr>
      <w:r>
        <w:rPr>
          <w:rFonts w:ascii="Arial" w:eastAsia="Arial" w:hAnsi="Arial" w:cs="Arial"/>
        </w:rPr>
        <w:t>3.1.</w:t>
      </w:r>
      <w:r w:rsidR="005A0868">
        <w:rPr>
          <w:rFonts w:ascii="Arial" w:eastAsia="Arial" w:hAnsi="Arial" w:cs="Arial"/>
        </w:rPr>
        <w:tab/>
        <w:t>Para la parte accionante,</w:t>
      </w:r>
      <w:r w:rsidR="00F023C5">
        <w:rPr>
          <w:rFonts w:ascii="Arial" w:eastAsia="Arial" w:hAnsi="Arial" w:cs="Arial"/>
        </w:rPr>
        <w:t xml:space="preserve"> la </w:t>
      </w:r>
      <w:r w:rsidR="005A0868">
        <w:rPr>
          <w:rFonts w:ascii="Arial" w:eastAsia="Arial" w:hAnsi="Arial" w:cs="Arial"/>
        </w:rPr>
        <w:t>autoridad judicial accionada</w:t>
      </w:r>
      <w:r w:rsidR="00F023C5">
        <w:rPr>
          <w:rFonts w:ascii="Arial" w:eastAsia="Arial" w:hAnsi="Arial" w:cs="Arial"/>
        </w:rPr>
        <w:t xml:space="preserve"> vulneró </w:t>
      </w:r>
      <w:r w:rsidR="00D97E1A">
        <w:rPr>
          <w:rFonts w:ascii="Arial" w:eastAsia="Arial" w:hAnsi="Arial" w:cs="Arial"/>
        </w:rPr>
        <w:t>su</w:t>
      </w:r>
      <w:r w:rsidR="00F023C5">
        <w:rPr>
          <w:rFonts w:ascii="Arial" w:eastAsia="Arial" w:hAnsi="Arial" w:cs="Arial"/>
        </w:rPr>
        <w:t xml:space="preserve"> derecho al debido proceso</w:t>
      </w:r>
      <w:r w:rsidR="00D97E1A">
        <w:rPr>
          <w:rFonts w:ascii="Arial" w:eastAsia="Arial" w:hAnsi="Arial" w:cs="Arial"/>
        </w:rPr>
        <w:t xml:space="preserve">, </w:t>
      </w:r>
      <w:r w:rsidR="00F023C5">
        <w:rPr>
          <w:rFonts w:ascii="Arial" w:eastAsia="Arial" w:hAnsi="Arial" w:cs="Arial"/>
        </w:rPr>
        <w:t xml:space="preserve">porque </w:t>
      </w:r>
      <w:r w:rsidR="005A0868">
        <w:rPr>
          <w:rFonts w:ascii="Arial" w:eastAsia="Arial" w:hAnsi="Arial" w:cs="Arial"/>
        </w:rPr>
        <w:t xml:space="preserve">para decidir la demanda de reparación directa </w:t>
      </w:r>
      <w:r w:rsidR="00F023C5">
        <w:rPr>
          <w:rFonts w:ascii="Arial" w:eastAsia="Arial" w:hAnsi="Arial" w:cs="Arial"/>
        </w:rPr>
        <w:t>valoró las pruebas del proceso penal</w:t>
      </w:r>
      <w:r w:rsidR="005A0868">
        <w:rPr>
          <w:rFonts w:ascii="Arial" w:eastAsia="Arial" w:hAnsi="Arial" w:cs="Arial"/>
        </w:rPr>
        <w:t>,</w:t>
      </w:r>
      <w:r w:rsidR="00F023C5">
        <w:rPr>
          <w:rFonts w:ascii="Arial" w:eastAsia="Arial" w:hAnsi="Arial" w:cs="Arial"/>
        </w:rPr>
        <w:t xml:space="preserve"> cuyo alcance ya había sido determinado por el juez natural de la causa, quien concluyó el proceso </w:t>
      </w:r>
      <w:r w:rsidR="00D97E1A">
        <w:rPr>
          <w:rFonts w:ascii="Arial" w:eastAsia="Arial" w:hAnsi="Arial" w:cs="Arial"/>
        </w:rPr>
        <w:t xml:space="preserve">con </w:t>
      </w:r>
      <w:r w:rsidR="00F023C5">
        <w:rPr>
          <w:rFonts w:ascii="Arial" w:eastAsia="Arial" w:hAnsi="Arial" w:cs="Arial"/>
        </w:rPr>
        <w:t xml:space="preserve">decisión de preclusión por prescripción de la acción penal. </w:t>
      </w:r>
      <w:r w:rsidR="005A0868">
        <w:rPr>
          <w:rFonts w:ascii="Arial" w:eastAsia="Arial" w:hAnsi="Arial" w:cs="Arial"/>
        </w:rPr>
        <w:t>De manera</w:t>
      </w:r>
      <w:r w:rsidR="00D97E1A">
        <w:rPr>
          <w:rFonts w:ascii="Arial" w:eastAsia="Arial" w:hAnsi="Arial" w:cs="Arial"/>
        </w:rPr>
        <w:t xml:space="preserve"> que</w:t>
      </w:r>
      <w:r w:rsidR="00F023C5">
        <w:rPr>
          <w:rFonts w:ascii="Arial" w:eastAsia="Arial" w:hAnsi="Arial" w:cs="Arial"/>
        </w:rPr>
        <w:t xml:space="preserve"> los juicios emitidos por la accionada</w:t>
      </w:r>
      <w:r w:rsidR="005A0868">
        <w:rPr>
          <w:rFonts w:ascii="Arial" w:eastAsia="Arial" w:hAnsi="Arial" w:cs="Arial"/>
        </w:rPr>
        <w:t>,</w:t>
      </w:r>
      <w:r w:rsidR="00F023C5">
        <w:rPr>
          <w:rFonts w:ascii="Arial" w:eastAsia="Arial" w:hAnsi="Arial" w:cs="Arial"/>
        </w:rPr>
        <w:t xml:space="preserve"> en relación con estos medios de prueba</w:t>
      </w:r>
      <w:r w:rsidR="005A0868">
        <w:rPr>
          <w:rFonts w:ascii="Arial" w:eastAsia="Arial" w:hAnsi="Arial" w:cs="Arial"/>
        </w:rPr>
        <w:t>,</w:t>
      </w:r>
      <w:r w:rsidR="00F023C5">
        <w:rPr>
          <w:rFonts w:ascii="Arial" w:eastAsia="Arial" w:hAnsi="Arial" w:cs="Arial"/>
        </w:rPr>
        <w:t xml:space="preserve"> desbordan el marco de competencia del juez de lo contencioso administrativo, en perjuicio de la presunción de inocencia del privado de la libertad.</w:t>
      </w:r>
      <w:r w:rsidR="001B01A1">
        <w:rPr>
          <w:rFonts w:ascii="Arial" w:eastAsia="Arial" w:hAnsi="Arial" w:cs="Arial"/>
        </w:rPr>
        <w:t xml:space="preserve"> </w:t>
      </w:r>
    </w:p>
    <w:p w14:paraId="7AA51263" w14:textId="29BF6783" w:rsidR="00F023C5" w:rsidRDefault="00F023C5" w:rsidP="005A0868">
      <w:pPr>
        <w:rPr>
          <w:rFonts w:ascii="Arial" w:eastAsia="Arial" w:hAnsi="Arial" w:cs="Arial"/>
        </w:rPr>
      </w:pPr>
    </w:p>
    <w:p w14:paraId="2EF2D6B2" w14:textId="63923C56" w:rsidR="00F023C5" w:rsidRDefault="00F023C5" w:rsidP="005A0868">
      <w:pPr>
        <w:rPr>
          <w:rFonts w:ascii="Arial" w:eastAsia="Arial" w:hAnsi="Arial" w:cs="Arial"/>
        </w:rPr>
      </w:pPr>
      <w:r>
        <w:rPr>
          <w:rFonts w:ascii="Arial" w:eastAsia="Arial" w:hAnsi="Arial" w:cs="Arial"/>
        </w:rPr>
        <w:t xml:space="preserve">Recordó que el señor Ruiz Romero no fue hallado culpable de los delitos que se le imputaron, en razón a </w:t>
      </w:r>
      <w:r w:rsidR="00632F26">
        <w:rPr>
          <w:rFonts w:ascii="Arial" w:eastAsia="Arial" w:hAnsi="Arial" w:cs="Arial"/>
        </w:rPr>
        <w:t>la debilidad de las pruebas de la Fiscalía</w:t>
      </w:r>
      <w:r w:rsidR="005014DC">
        <w:rPr>
          <w:rFonts w:ascii="Arial" w:eastAsia="Arial" w:hAnsi="Arial" w:cs="Arial"/>
        </w:rPr>
        <w:t xml:space="preserve">, por lo que </w:t>
      </w:r>
      <w:r w:rsidR="00632F26">
        <w:rPr>
          <w:rFonts w:ascii="Arial" w:eastAsia="Arial" w:hAnsi="Arial" w:cs="Arial"/>
        </w:rPr>
        <w:t xml:space="preserve">no es admisible que en el escenario de la reparación extracontractual se hagan juicios de la responsabilidad penal del demandante. </w:t>
      </w:r>
    </w:p>
    <w:p w14:paraId="2D23793D" w14:textId="44EEF552" w:rsidR="00632F26" w:rsidRDefault="00632F26" w:rsidP="005A0868">
      <w:pPr>
        <w:rPr>
          <w:rFonts w:ascii="Arial" w:eastAsia="Arial" w:hAnsi="Arial" w:cs="Arial"/>
        </w:rPr>
      </w:pPr>
    </w:p>
    <w:p w14:paraId="1E4634AA" w14:textId="58DDFACD" w:rsidR="00632F26" w:rsidRDefault="005014DC" w:rsidP="005A0868">
      <w:pPr>
        <w:rPr>
          <w:rFonts w:ascii="Arial" w:eastAsia="Arial" w:hAnsi="Arial" w:cs="Arial"/>
        </w:rPr>
      </w:pPr>
      <w:r>
        <w:rPr>
          <w:rFonts w:ascii="Arial" w:eastAsia="Arial" w:hAnsi="Arial" w:cs="Arial"/>
        </w:rPr>
        <w:t>3.2.</w:t>
      </w:r>
      <w:r w:rsidR="005A0868">
        <w:rPr>
          <w:rFonts w:ascii="Arial" w:eastAsia="Arial" w:hAnsi="Arial" w:cs="Arial"/>
        </w:rPr>
        <w:tab/>
      </w:r>
      <w:r w:rsidR="00632F26">
        <w:rPr>
          <w:rFonts w:ascii="Arial" w:eastAsia="Arial" w:hAnsi="Arial" w:cs="Arial"/>
        </w:rPr>
        <w:t xml:space="preserve">Como fundamento del </w:t>
      </w:r>
      <w:r w:rsidR="005A0868">
        <w:rPr>
          <w:rFonts w:ascii="Arial" w:eastAsia="Arial" w:hAnsi="Arial" w:cs="Arial"/>
        </w:rPr>
        <w:t>error endilgado a la autoridad demandada</w:t>
      </w:r>
      <w:r w:rsidR="00632F26">
        <w:rPr>
          <w:rFonts w:ascii="Arial" w:eastAsia="Arial" w:hAnsi="Arial" w:cs="Arial"/>
        </w:rPr>
        <w:t xml:space="preserve">, relacionó la sentencia de tutela del 15 de noviembre de 2019, </w:t>
      </w:r>
      <w:r w:rsidR="005A0868">
        <w:rPr>
          <w:rFonts w:ascii="Arial" w:eastAsia="Arial" w:hAnsi="Arial" w:cs="Arial"/>
        </w:rPr>
        <w:t xml:space="preserve">con ponencia del Magistrado </w:t>
      </w:r>
      <w:r w:rsidR="00632F26">
        <w:rPr>
          <w:rFonts w:ascii="Arial" w:eastAsia="Arial" w:hAnsi="Arial" w:cs="Arial"/>
        </w:rPr>
        <w:t xml:space="preserve">Martín Bermúdez Muñoz, </w:t>
      </w:r>
      <w:r w:rsidR="005A0868">
        <w:rPr>
          <w:rFonts w:ascii="Arial" w:eastAsia="Arial" w:hAnsi="Arial" w:cs="Arial"/>
        </w:rPr>
        <w:t xml:space="preserve">en la que según sostiene, </w:t>
      </w:r>
      <w:r w:rsidR="00632F26">
        <w:rPr>
          <w:rFonts w:ascii="Arial" w:eastAsia="Arial" w:hAnsi="Arial" w:cs="Arial"/>
        </w:rPr>
        <w:t xml:space="preserve">se dejó claro que al juez de la reparación directa no le es permitido </w:t>
      </w:r>
      <w:r w:rsidR="00632F26">
        <w:rPr>
          <w:rFonts w:ascii="Arial" w:eastAsia="Arial" w:hAnsi="Arial" w:cs="Arial"/>
          <w:i/>
          <w:iCs/>
        </w:rPr>
        <w:t>“</w:t>
      </w:r>
      <w:r w:rsidR="00632F26" w:rsidRPr="005A0868">
        <w:rPr>
          <w:rFonts w:ascii="Arial" w:eastAsia="Arial" w:hAnsi="Arial" w:cs="Arial"/>
          <w:i/>
          <w:iCs/>
          <w:sz w:val="22"/>
          <w:szCs w:val="22"/>
        </w:rPr>
        <w:t>valorar una decisión judicial penal debidamente ejecutoriada”</w:t>
      </w:r>
      <w:r w:rsidR="00632F26">
        <w:rPr>
          <w:rFonts w:ascii="Arial" w:eastAsia="Arial" w:hAnsi="Arial" w:cs="Arial"/>
          <w:i/>
          <w:iCs/>
        </w:rPr>
        <w:t xml:space="preserve">, </w:t>
      </w:r>
      <w:r w:rsidR="00632F26">
        <w:rPr>
          <w:rFonts w:ascii="Arial" w:eastAsia="Arial" w:hAnsi="Arial" w:cs="Arial"/>
        </w:rPr>
        <w:t xml:space="preserve">pues tal análisis atenta contra la presunción de inocencia de la persona respecto de la cual se impuso medida de aseguramiento. </w:t>
      </w:r>
    </w:p>
    <w:p w14:paraId="75C09CB9" w14:textId="79495346" w:rsidR="00632F26" w:rsidRDefault="00632F26" w:rsidP="005A0868">
      <w:pPr>
        <w:rPr>
          <w:rFonts w:ascii="Arial" w:eastAsia="Arial" w:hAnsi="Arial" w:cs="Arial"/>
        </w:rPr>
      </w:pPr>
    </w:p>
    <w:p w14:paraId="4054C1AA" w14:textId="77777777" w:rsidR="005A0868" w:rsidRDefault="005014DC" w:rsidP="005A0868">
      <w:pPr>
        <w:rPr>
          <w:rFonts w:ascii="Arial" w:eastAsia="Arial" w:hAnsi="Arial" w:cs="Arial"/>
        </w:rPr>
      </w:pPr>
      <w:r>
        <w:rPr>
          <w:rFonts w:ascii="Arial" w:eastAsia="Arial" w:hAnsi="Arial" w:cs="Arial"/>
        </w:rPr>
        <w:t>3.3.</w:t>
      </w:r>
      <w:r w:rsidR="005A0868">
        <w:rPr>
          <w:rFonts w:ascii="Arial" w:eastAsia="Arial" w:hAnsi="Arial" w:cs="Arial"/>
        </w:rPr>
        <w:tab/>
        <w:t>Sostuvo</w:t>
      </w:r>
      <w:r w:rsidR="00632F26">
        <w:rPr>
          <w:rFonts w:ascii="Arial" w:eastAsia="Arial" w:hAnsi="Arial" w:cs="Arial"/>
        </w:rPr>
        <w:t xml:space="preserve"> que la sentencia </w:t>
      </w:r>
      <w:r w:rsidR="005A0868">
        <w:rPr>
          <w:rFonts w:ascii="Arial" w:eastAsia="Arial" w:hAnsi="Arial" w:cs="Arial"/>
        </w:rPr>
        <w:t xml:space="preserve">acusada </w:t>
      </w:r>
      <w:r w:rsidR="00632F26">
        <w:rPr>
          <w:rFonts w:ascii="Arial" w:eastAsia="Arial" w:hAnsi="Arial" w:cs="Arial"/>
        </w:rPr>
        <w:t xml:space="preserve">desconoció los derechos fundamentales de Karen Slendy </w:t>
      </w:r>
      <w:r w:rsidR="008C156A">
        <w:rPr>
          <w:rFonts w:ascii="Arial" w:eastAsia="Arial" w:hAnsi="Arial" w:cs="Arial"/>
        </w:rPr>
        <w:t xml:space="preserve">Ruiz </w:t>
      </w:r>
      <w:r w:rsidR="00632F26">
        <w:rPr>
          <w:rFonts w:ascii="Arial" w:eastAsia="Arial" w:hAnsi="Arial" w:cs="Arial"/>
        </w:rPr>
        <w:t xml:space="preserve">Labrador, </w:t>
      </w:r>
      <w:r>
        <w:rPr>
          <w:rFonts w:ascii="Arial" w:eastAsia="Arial" w:hAnsi="Arial" w:cs="Arial"/>
        </w:rPr>
        <w:t xml:space="preserve">María </w:t>
      </w:r>
      <w:r w:rsidR="00632F26">
        <w:rPr>
          <w:rFonts w:ascii="Arial" w:eastAsia="Arial" w:hAnsi="Arial" w:cs="Arial"/>
        </w:rPr>
        <w:t xml:space="preserve">Fernanda </w:t>
      </w:r>
      <w:r w:rsidR="008C156A">
        <w:rPr>
          <w:rFonts w:ascii="Arial" w:eastAsia="Arial" w:hAnsi="Arial" w:cs="Arial"/>
        </w:rPr>
        <w:t xml:space="preserve">Ruiz </w:t>
      </w:r>
      <w:r w:rsidR="00F701F3">
        <w:rPr>
          <w:rFonts w:ascii="Arial" w:eastAsia="Arial" w:hAnsi="Arial" w:cs="Arial"/>
        </w:rPr>
        <w:t>L</w:t>
      </w:r>
      <w:r w:rsidR="00632F26">
        <w:rPr>
          <w:rFonts w:ascii="Arial" w:eastAsia="Arial" w:hAnsi="Arial" w:cs="Arial"/>
        </w:rPr>
        <w:t xml:space="preserve">abrador y Lizeth </w:t>
      </w:r>
      <w:r w:rsidR="008C156A">
        <w:rPr>
          <w:rFonts w:ascii="Arial" w:eastAsia="Arial" w:hAnsi="Arial" w:cs="Arial"/>
        </w:rPr>
        <w:t xml:space="preserve">Ruiz </w:t>
      </w:r>
      <w:r w:rsidR="00632F26">
        <w:rPr>
          <w:rFonts w:ascii="Arial" w:eastAsia="Arial" w:hAnsi="Arial" w:cs="Arial"/>
        </w:rPr>
        <w:t xml:space="preserve">Labrador </w:t>
      </w:r>
      <w:r w:rsidR="00F701F3">
        <w:rPr>
          <w:rFonts w:ascii="Arial" w:eastAsia="Arial" w:hAnsi="Arial" w:cs="Arial"/>
        </w:rPr>
        <w:t xml:space="preserve">al declarar la caducidad de la acción respecto de ellas. </w:t>
      </w:r>
    </w:p>
    <w:p w14:paraId="3E6FD7FA" w14:textId="77777777" w:rsidR="005A0868" w:rsidRDefault="005A0868" w:rsidP="005A0868">
      <w:pPr>
        <w:rPr>
          <w:rFonts w:ascii="Arial" w:eastAsia="Arial" w:hAnsi="Arial" w:cs="Arial"/>
        </w:rPr>
      </w:pPr>
    </w:p>
    <w:p w14:paraId="0D0C9E31" w14:textId="4A1752EF" w:rsidR="00632F26" w:rsidRDefault="005A0868" w:rsidP="005A0868">
      <w:pPr>
        <w:rPr>
          <w:rFonts w:ascii="Arial" w:eastAsia="Arial" w:hAnsi="Arial" w:cs="Arial"/>
        </w:rPr>
      </w:pPr>
      <w:r>
        <w:rPr>
          <w:rFonts w:ascii="Arial" w:eastAsia="Arial" w:hAnsi="Arial" w:cs="Arial"/>
        </w:rPr>
        <w:t>E</w:t>
      </w:r>
      <w:r w:rsidR="00F701F3">
        <w:rPr>
          <w:rFonts w:ascii="Arial" w:eastAsia="Arial" w:hAnsi="Arial" w:cs="Arial"/>
        </w:rPr>
        <w:t xml:space="preserve">xpuso que </w:t>
      </w:r>
      <w:r w:rsidR="00F701F3" w:rsidRPr="005A0868">
        <w:rPr>
          <w:rFonts w:ascii="Arial" w:eastAsia="Arial" w:hAnsi="Arial" w:cs="Arial"/>
          <w:i/>
          <w:iCs/>
          <w:sz w:val="22"/>
          <w:szCs w:val="22"/>
        </w:rPr>
        <w:t xml:space="preserve">“el derecho de acción de los menores de edad inicia su término prescriptivo una vez estos obtengan la mayoría de edad” </w:t>
      </w:r>
      <w:r w:rsidR="00F701F3">
        <w:rPr>
          <w:rFonts w:ascii="Arial" w:eastAsia="Arial" w:hAnsi="Arial" w:cs="Arial"/>
        </w:rPr>
        <w:t xml:space="preserve">y al momento en que se interpuso la demanda </w:t>
      </w:r>
      <w:r w:rsidR="005014DC">
        <w:rPr>
          <w:rFonts w:ascii="Arial" w:eastAsia="Arial" w:hAnsi="Arial" w:cs="Arial"/>
        </w:rPr>
        <w:t xml:space="preserve">María </w:t>
      </w:r>
      <w:r w:rsidR="006D4030" w:rsidRPr="006D4030">
        <w:rPr>
          <w:rFonts w:ascii="Arial" w:eastAsia="Arial" w:hAnsi="Arial" w:cs="Arial"/>
        </w:rPr>
        <w:t xml:space="preserve">Fernanda </w:t>
      </w:r>
      <w:r w:rsidR="008C156A">
        <w:rPr>
          <w:rFonts w:ascii="Arial" w:eastAsia="Arial" w:hAnsi="Arial" w:cs="Arial"/>
        </w:rPr>
        <w:t xml:space="preserve">Ruiz </w:t>
      </w:r>
      <w:r w:rsidR="006D4030" w:rsidRPr="006D4030">
        <w:rPr>
          <w:rFonts w:ascii="Arial" w:eastAsia="Arial" w:hAnsi="Arial" w:cs="Arial"/>
        </w:rPr>
        <w:t xml:space="preserve">Labrador y Lizeth </w:t>
      </w:r>
      <w:r w:rsidR="008C156A">
        <w:rPr>
          <w:rFonts w:ascii="Arial" w:eastAsia="Arial" w:hAnsi="Arial" w:cs="Arial"/>
        </w:rPr>
        <w:t xml:space="preserve">Ruiz </w:t>
      </w:r>
      <w:r w:rsidR="006D4030" w:rsidRPr="006D4030">
        <w:rPr>
          <w:rFonts w:ascii="Arial" w:eastAsia="Arial" w:hAnsi="Arial" w:cs="Arial"/>
        </w:rPr>
        <w:t xml:space="preserve">Labrador </w:t>
      </w:r>
      <w:r w:rsidR="00F701F3">
        <w:rPr>
          <w:rFonts w:ascii="Arial" w:eastAsia="Arial" w:hAnsi="Arial" w:cs="Arial"/>
        </w:rPr>
        <w:t xml:space="preserve">eran menores de edad y </w:t>
      </w:r>
      <w:r w:rsidR="006D4030">
        <w:rPr>
          <w:rFonts w:ascii="Arial" w:eastAsia="Arial" w:hAnsi="Arial" w:cs="Arial"/>
        </w:rPr>
        <w:t xml:space="preserve">estaban </w:t>
      </w:r>
      <w:r w:rsidR="00F701F3">
        <w:rPr>
          <w:rFonts w:ascii="Arial" w:eastAsia="Arial" w:hAnsi="Arial" w:cs="Arial"/>
        </w:rPr>
        <w:t xml:space="preserve">representadas a través de sus padres. </w:t>
      </w:r>
    </w:p>
    <w:p w14:paraId="44C16BED" w14:textId="4B56481A" w:rsidR="006D4030" w:rsidRDefault="006D4030" w:rsidP="005A0868">
      <w:pPr>
        <w:rPr>
          <w:rFonts w:ascii="Arial" w:eastAsia="Arial" w:hAnsi="Arial" w:cs="Arial"/>
        </w:rPr>
      </w:pPr>
    </w:p>
    <w:p w14:paraId="4818E197" w14:textId="72D85B15" w:rsidR="006D4030" w:rsidRPr="00632F26" w:rsidRDefault="006D4030" w:rsidP="005A0868">
      <w:pPr>
        <w:rPr>
          <w:rFonts w:ascii="Arial" w:eastAsia="Arial" w:hAnsi="Arial" w:cs="Arial"/>
        </w:rPr>
      </w:pPr>
      <w:r>
        <w:rPr>
          <w:rFonts w:ascii="Arial" w:eastAsia="Arial" w:hAnsi="Arial" w:cs="Arial"/>
        </w:rPr>
        <w:t xml:space="preserve">Respecto de Karen Slendy </w:t>
      </w:r>
      <w:r w:rsidR="008C156A">
        <w:rPr>
          <w:rFonts w:ascii="Arial" w:eastAsia="Arial" w:hAnsi="Arial" w:cs="Arial"/>
        </w:rPr>
        <w:t xml:space="preserve">Ruiz </w:t>
      </w:r>
      <w:r>
        <w:rPr>
          <w:rFonts w:ascii="Arial" w:eastAsia="Arial" w:hAnsi="Arial" w:cs="Arial"/>
        </w:rPr>
        <w:t>Labrador, explicó que la Sala accionada omitió que la presentación de la demanda interrumpe el término de caducidad</w:t>
      </w:r>
      <w:r w:rsidR="005A0868">
        <w:rPr>
          <w:rFonts w:ascii="Arial" w:eastAsia="Arial" w:hAnsi="Arial" w:cs="Arial"/>
        </w:rPr>
        <w:t>,</w:t>
      </w:r>
      <w:r>
        <w:rPr>
          <w:rFonts w:ascii="Arial" w:eastAsia="Arial" w:hAnsi="Arial" w:cs="Arial"/>
        </w:rPr>
        <w:t xml:space="preserve"> y lo cierto es que encontrándose dentro de los términos, se adicionó la demanda para incluir a esta persona como parte activa, lo que es diferente</w:t>
      </w:r>
      <w:r w:rsidR="00A65054">
        <w:rPr>
          <w:rFonts w:ascii="Arial" w:eastAsia="Arial" w:hAnsi="Arial" w:cs="Arial"/>
        </w:rPr>
        <w:t xml:space="preserve"> a</w:t>
      </w:r>
      <w:r>
        <w:rPr>
          <w:rFonts w:ascii="Arial" w:eastAsia="Arial" w:hAnsi="Arial" w:cs="Arial"/>
        </w:rPr>
        <w:t xml:space="preserve"> que se hubiere presentado una demanda independiente, caso en el cual s</w:t>
      </w:r>
      <w:r w:rsidR="00A65054">
        <w:rPr>
          <w:rFonts w:ascii="Arial" w:eastAsia="Arial" w:hAnsi="Arial" w:cs="Arial"/>
        </w:rPr>
        <w:t>í</w:t>
      </w:r>
      <w:r>
        <w:rPr>
          <w:rFonts w:ascii="Arial" w:eastAsia="Arial" w:hAnsi="Arial" w:cs="Arial"/>
        </w:rPr>
        <w:t xml:space="preserve"> hubiera procedido la declaratoria de la caducidad. </w:t>
      </w:r>
    </w:p>
    <w:p w14:paraId="559AAFFF" w14:textId="77777777" w:rsidR="004811A7" w:rsidRDefault="004811A7" w:rsidP="005A0868">
      <w:pPr>
        <w:rPr>
          <w:rFonts w:ascii="Arial" w:eastAsia="Arial" w:hAnsi="Arial" w:cs="Arial"/>
          <w:b/>
          <w:i/>
        </w:rPr>
      </w:pPr>
    </w:p>
    <w:p w14:paraId="2A5E9A56" w14:textId="77777777" w:rsidR="004811A7" w:rsidRDefault="007632C5" w:rsidP="005A0868">
      <w:pPr>
        <w:rPr>
          <w:rFonts w:ascii="Arial" w:eastAsia="Arial" w:hAnsi="Arial" w:cs="Arial"/>
        </w:rPr>
      </w:pPr>
      <w:r>
        <w:rPr>
          <w:rFonts w:ascii="Arial" w:eastAsia="Arial" w:hAnsi="Arial" w:cs="Arial"/>
          <w:b/>
        </w:rPr>
        <w:t>4.</w:t>
      </w:r>
      <w:r>
        <w:rPr>
          <w:rFonts w:ascii="Arial" w:eastAsia="Arial" w:hAnsi="Arial" w:cs="Arial"/>
          <w:b/>
        </w:rPr>
        <w:tab/>
        <w:t xml:space="preserve"> Trámite impartido e intervenciones</w:t>
      </w:r>
    </w:p>
    <w:p w14:paraId="0A53A0C6" w14:textId="77777777" w:rsidR="004811A7" w:rsidRDefault="004811A7" w:rsidP="005A0868">
      <w:pPr>
        <w:rPr>
          <w:rFonts w:ascii="Arial" w:eastAsia="Arial" w:hAnsi="Arial" w:cs="Arial"/>
        </w:rPr>
      </w:pPr>
    </w:p>
    <w:p w14:paraId="454B8301" w14:textId="3B54D402" w:rsidR="004811A7" w:rsidRDefault="007632C5" w:rsidP="005A0868">
      <w:pPr>
        <w:rPr>
          <w:rFonts w:ascii="Arial" w:eastAsia="Arial" w:hAnsi="Arial" w:cs="Arial"/>
        </w:rPr>
      </w:pPr>
      <w:r>
        <w:rPr>
          <w:rFonts w:ascii="Arial" w:eastAsia="Arial" w:hAnsi="Arial" w:cs="Arial"/>
        </w:rPr>
        <w:t>4.1.</w:t>
      </w:r>
      <w:r>
        <w:rPr>
          <w:rFonts w:ascii="Arial" w:eastAsia="Arial" w:hAnsi="Arial" w:cs="Arial"/>
        </w:rPr>
        <w:tab/>
        <w:t xml:space="preserve">El </w:t>
      </w:r>
      <w:r w:rsidR="006D4030">
        <w:rPr>
          <w:rFonts w:ascii="Arial" w:eastAsia="Arial" w:hAnsi="Arial" w:cs="Arial"/>
        </w:rPr>
        <w:t>29</w:t>
      </w:r>
      <w:r>
        <w:rPr>
          <w:rFonts w:ascii="Arial" w:eastAsia="Arial" w:hAnsi="Arial" w:cs="Arial"/>
        </w:rPr>
        <w:t xml:space="preserve"> de </w:t>
      </w:r>
      <w:r w:rsidR="006D4030">
        <w:rPr>
          <w:rFonts w:ascii="Arial" w:eastAsia="Arial" w:hAnsi="Arial" w:cs="Arial"/>
        </w:rPr>
        <w:t>mayo</w:t>
      </w:r>
      <w:r>
        <w:rPr>
          <w:rFonts w:ascii="Arial" w:eastAsia="Arial" w:hAnsi="Arial" w:cs="Arial"/>
        </w:rPr>
        <w:t xml:space="preserve"> de 2020, el despacho ponente </w:t>
      </w:r>
      <w:r>
        <w:rPr>
          <w:rFonts w:ascii="Arial" w:eastAsia="Arial" w:hAnsi="Arial" w:cs="Arial"/>
          <w:b/>
        </w:rPr>
        <w:t xml:space="preserve">admitió </w:t>
      </w:r>
      <w:r>
        <w:rPr>
          <w:rFonts w:ascii="Arial" w:eastAsia="Arial" w:hAnsi="Arial" w:cs="Arial"/>
        </w:rPr>
        <w:t xml:space="preserve">la acción de tutela; </w:t>
      </w:r>
      <w:r>
        <w:rPr>
          <w:rFonts w:ascii="Arial" w:eastAsia="Arial" w:hAnsi="Arial" w:cs="Arial"/>
          <w:b/>
        </w:rPr>
        <w:t xml:space="preserve">vinculó </w:t>
      </w:r>
      <w:r>
        <w:rPr>
          <w:rFonts w:ascii="Arial" w:eastAsia="Arial" w:hAnsi="Arial" w:cs="Arial"/>
        </w:rPr>
        <w:t xml:space="preserve">a </w:t>
      </w:r>
      <w:r w:rsidR="00EC4804">
        <w:rPr>
          <w:rFonts w:ascii="Arial" w:eastAsia="Arial" w:hAnsi="Arial" w:cs="Arial"/>
        </w:rPr>
        <w:t xml:space="preserve">la </w:t>
      </w:r>
      <w:r w:rsidR="00EC4804" w:rsidRPr="00EC4804">
        <w:rPr>
          <w:rFonts w:ascii="Arial" w:eastAsia="Arial" w:hAnsi="Arial" w:cs="Arial"/>
        </w:rPr>
        <w:t xml:space="preserve">Nación - Ministerio de Defensa – Ejército Nacional, </w:t>
      </w:r>
      <w:r w:rsidR="00A65054">
        <w:rPr>
          <w:rFonts w:ascii="Arial" w:eastAsia="Arial" w:hAnsi="Arial" w:cs="Arial"/>
        </w:rPr>
        <w:t xml:space="preserve">a </w:t>
      </w:r>
      <w:r w:rsidR="00EC4804">
        <w:rPr>
          <w:rFonts w:ascii="Arial" w:eastAsia="Arial" w:hAnsi="Arial" w:cs="Arial"/>
        </w:rPr>
        <w:t xml:space="preserve">la </w:t>
      </w:r>
      <w:r w:rsidR="00EC4804" w:rsidRPr="00EC4804">
        <w:rPr>
          <w:rFonts w:ascii="Arial" w:eastAsia="Arial" w:hAnsi="Arial" w:cs="Arial"/>
        </w:rPr>
        <w:t xml:space="preserve">Rama Judicial y </w:t>
      </w:r>
      <w:r w:rsidR="00A65054">
        <w:rPr>
          <w:rFonts w:ascii="Arial" w:eastAsia="Arial" w:hAnsi="Arial" w:cs="Arial"/>
        </w:rPr>
        <w:t xml:space="preserve">a </w:t>
      </w:r>
      <w:r w:rsidR="00EC4804">
        <w:rPr>
          <w:rFonts w:ascii="Arial" w:eastAsia="Arial" w:hAnsi="Arial" w:cs="Arial"/>
        </w:rPr>
        <w:t xml:space="preserve">la </w:t>
      </w:r>
      <w:r w:rsidR="00EC4804" w:rsidRPr="00EC4804">
        <w:rPr>
          <w:rFonts w:ascii="Arial" w:eastAsia="Arial" w:hAnsi="Arial" w:cs="Arial"/>
        </w:rPr>
        <w:t xml:space="preserve">Fiscalía General de la Nación, </w:t>
      </w:r>
      <w:r w:rsidR="00EC4804">
        <w:rPr>
          <w:rFonts w:ascii="Arial" w:eastAsia="Arial" w:hAnsi="Arial" w:cs="Arial"/>
        </w:rPr>
        <w:t>entidades que</w:t>
      </w:r>
      <w:r w:rsidR="00EC4804" w:rsidRPr="00EC4804">
        <w:rPr>
          <w:rFonts w:ascii="Arial" w:eastAsia="Arial" w:hAnsi="Arial" w:cs="Arial"/>
        </w:rPr>
        <w:t xml:space="preserve"> intervinieron en calidad de demandad</w:t>
      </w:r>
      <w:r w:rsidR="007E46BF">
        <w:rPr>
          <w:rFonts w:ascii="Arial" w:eastAsia="Arial" w:hAnsi="Arial" w:cs="Arial"/>
        </w:rPr>
        <w:t>a</w:t>
      </w:r>
      <w:r w:rsidR="00EC4804" w:rsidRPr="00EC4804">
        <w:rPr>
          <w:rFonts w:ascii="Arial" w:eastAsia="Arial" w:hAnsi="Arial" w:cs="Arial"/>
        </w:rPr>
        <w:t xml:space="preserve">s en el proceso ordinario, y a Karen Slendy </w:t>
      </w:r>
      <w:r w:rsidR="008C156A">
        <w:rPr>
          <w:rFonts w:ascii="Arial" w:eastAsia="Arial" w:hAnsi="Arial" w:cs="Arial"/>
        </w:rPr>
        <w:t xml:space="preserve">Ruiz </w:t>
      </w:r>
      <w:r w:rsidR="00EC4804" w:rsidRPr="00EC4804">
        <w:rPr>
          <w:rFonts w:ascii="Arial" w:eastAsia="Arial" w:hAnsi="Arial" w:cs="Arial"/>
        </w:rPr>
        <w:t xml:space="preserve">Labrador, Mónica Lizeth </w:t>
      </w:r>
      <w:r w:rsidR="008C156A">
        <w:rPr>
          <w:rFonts w:ascii="Arial" w:eastAsia="Arial" w:hAnsi="Arial" w:cs="Arial"/>
        </w:rPr>
        <w:t xml:space="preserve">Ruiz </w:t>
      </w:r>
      <w:r w:rsidR="00EC4804" w:rsidRPr="00EC4804">
        <w:rPr>
          <w:rFonts w:ascii="Arial" w:eastAsia="Arial" w:hAnsi="Arial" w:cs="Arial"/>
        </w:rPr>
        <w:t xml:space="preserve">Labrador y María Fernanda </w:t>
      </w:r>
      <w:r w:rsidR="008C156A">
        <w:rPr>
          <w:rFonts w:ascii="Arial" w:eastAsia="Arial" w:hAnsi="Arial" w:cs="Arial"/>
        </w:rPr>
        <w:t xml:space="preserve">Ruiz </w:t>
      </w:r>
      <w:r w:rsidR="00EC4804" w:rsidRPr="00EC4804">
        <w:rPr>
          <w:rFonts w:ascii="Arial" w:eastAsia="Arial" w:hAnsi="Arial" w:cs="Arial"/>
        </w:rPr>
        <w:t xml:space="preserve">Labrador, </w:t>
      </w:r>
      <w:r w:rsidR="00EC4804">
        <w:rPr>
          <w:rFonts w:ascii="Arial" w:eastAsia="Arial" w:hAnsi="Arial" w:cs="Arial"/>
        </w:rPr>
        <w:t>quienes</w:t>
      </w:r>
      <w:r w:rsidR="00EC4804" w:rsidRPr="00EC4804">
        <w:rPr>
          <w:rFonts w:ascii="Arial" w:eastAsia="Arial" w:hAnsi="Arial" w:cs="Arial"/>
        </w:rPr>
        <w:t xml:space="preserve"> intervinieron en calidad de demandantes en el proceso de reparación directa nro. 76001-23-31-000-2006-03055-01.  </w:t>
      </w:r>
      <w:r>
        <w:rPr>
          <w:rFonts w:ascii="Arial" w:eastAsia="Arial" w:hAnsi="Arial" w:cs="Arial"/>
        </w:rPr>
        <w:t xml:space="preserve">Finalmente, dispuso surtir las notificaciones respecto de las partes e intervinientes. </w:t>
      </w:r>
    </w:p>
    <w:p w14:paraId="2D370271" w14:textId="77777777" w:rsidR="004811A7" w:rsidRDefault="004811A7">
      <w:pPr>
        <w:rPr>
          <w:rFonts w:ascii="Arial" w:eastAsia="Arial" w:hAnsi="Arial" w:cs="Arial"/>
        </w:rPr>
      </w:pPr>
    </w:p>
    <w:p w14:paraId="24385A1B" w14:textId="5BDF3B06" w:rsidR="00AD722B" w:rsidRDefault="007632C5" w:rsidP="00817589">
      <w:pPr>
        <w:rPr>
          <w:rFonts w:ascii="Arial" w:eastAsia="Arial" w:hAnsi="Arial" w:cs="Arial"/>
          <w:bCs/>
        </w:rPr>
      </w:pPr>
      <w:r>
        <w:rPr>
          <w:rFonts w:ascii="Arial" w:eastAsia="Arial" w:hAnsi="Arial" w:cs="Arial"/>
        </w:rPr>
        <w:lastRenderedPageBreak/>
        <w:t>4.2.</w:t>
      </w:r>
      <w:r>
        <w:rPr>
          <w:rFonts w:ascii="Arial" w:eastAsia="Arial" w:hAnsi="Arial" w:cs="Arial"/>
        </w:rPr>
        <w:tab/>
        <w:t>El</w:t>
      </w:r>
      <w:r>
        <w:rPr>
          <w:rFonts w:ascii="Arial" w:eastAsia="Arial" w:hAnsi="Arial" w:cs="Arial"/>
          <w:b/>
        </w:rPr>
        <w:t xml:space="preserve"> </w:t>
      </w:r>
      <w:r w:rsidR="00EC4804">
        <w:rPr>
          <w:rFonts w:ascii="Arial" w:eastAsia="Arial" w:hAnsi="Arial" w:cs="Arial"/>
          <w:b/>
        </w:rPr>
        <w:t xml:space="preserve">Consejo Superior de la Judicatura, </w:t>
      </w:r>
      <w:r w:rsidR="00EC4804">
        <w:rPr>
          <w:rFonts w:ascii="Arial" w:eastAsia="Arial" w:hAnsi="Arial" w:cs="Arial"/>
          <w:bCs/>
        </w:rPr>
        <w:t xml:space="preserve">por conducto de abogado de la División de Procesos de la entidad, expuso como pretensión principal que se declare la improcedencia de la acción de tutela porque no acredita </w:t>
      </w:r>
      <w:r w:rsidR="00AD722B">
        <w:rPr>
          <w:rFonts w:ascii="Arial" w:eastAsia="Arial" w:hAnsi="Arial" w:cs="Arial"/>
          <w:bCs/>
        </w:rPr>
        <w:t>los</w:t>
      </w:r>
      <w:r w:rsidR="00EC4804">
        <w:rPr>
          <w:rFonts w:ascii="Arial" w:eastAsia="Arial" w:hAnsi="Arial" w:cs="Arial"/>
          <w:bCs/>
        </w:rPr>
        <w:t xml:space="preserve"> requisito</w:t>
      </w:r>
      <w:r w:rsidR="00AD722B">
        <w:rPr>
          <w:rFonts w:ascii="Arial" w:eastAsia="Arial" w:hAnsi="Arial" w:cs="Arial"/>
          <w:bCs/>
        </w:rPr>
        <w:t>s</w:t>
      </w:r>
      <w:r w:rsidR="00EC4804">
        <w:rPr>
          <w:rFonts w:ascii="Arial" w:eastAsia="Arial" w:hAnsi="Arial" w:cs="Arial"/>
          <w:bCs/>
        </w:rPr>
        <w:t xml:space="preserve"> general</w:t>
      </w:r>
      <w:r w:rsidR="00AD722B">
        <w:rPr>
          <w:rFonts w:ascii="Arial" w:eastAsia="Arial" w:hAnsi="Arial" w:cs="Arial"/>
          <w:bCs/>
        </w:rPr>
        <w:t>es</w:t>
      </w:r>
      <w:r w:rsidR="00EC4804">
        <w:rPr>
          <w:rFonts w:ascii="Arial" w:eastAsia="Arial" w:hAnsi="Arial" w:cs="Arial"/>
          <w:bCs/>
        </w:rPr>
        <w:t xml:space="preserve"> de inmediatez</w:t>
      </w:r>
      <w:r w:rsidR="00AD722B">
        <w:rPr>
          <w:rFonts w:ascii="Arial" w:eastAsia="Arial" w:hAnsi="Arial" w:cs="Arial"/>
          <w:bCs/>
        </w:rPr>
        <w:t xml:space="preserve"> y relevancia constitucional</w:t>
      </w:r>
      <w:r w:rsidR="00EC4804">
        <w:rPr>
          <w:rFonts w:ascii="Arial" w:eastAsia="Arial" w:hAnsi="Arial" w:cs="Arial"/>
          <w:bCs/>
        </w:rPr>
        <w:t xml:space="preserve">. </w:t>
      </w:r>
    </w:p>
    <w:p w14:paraId="22CC6EEB" w14:textId="77777777" w:rsidR="00AD722B" w:rsidRDefault="00AD722B" w:rsidP="00817589">
      <w:pPr>
        <w:rPr>
          <w:rFonts w:ascii="Arial" w:eastAsia="Arial" w:hAnsi="Arial" w:cs="Arial"/>
          <w:bCs/>
        </w:rPr>
      </w:pPr>
    </w:p>
    <w:p w14:paraId="32656C30" w14:textId="20E59687" w:rsidR="004811A7" w:rsidRDefault="00EC4804" w:rsidP="00817589">
      <w:pPr>
        <w:rPr>
          <w:rFonts w:ascii="Arial" w:eastAsia="Arial" w:hAnsi="Arial" w:cs="Arial"/>
          <w:bCs/>
        </w:rPr>
      </w:pPr>
      <w:r>
        <w:rPr>
          <w:rFonts w:ascii="Arial" w:eastAsia="Arial" w:hAnsi="Arial" w:cs="Arial"/>
          <w:bCs/>
        </w:rPr>
        <w:t>Destacó que transcurrieron más de 9 meses entre el momento en que adquirió firmeza la providencia atacada y la interposición de la acción de tutela</w:t>
      </w:r>
      <w:r w:rsidR="00AD722B">
        <w:rPr>
          <w:rFonts w:ascii="Arial" w:eastAsia="Arial" w:hAnsi="Arial" w:cs="Arial"/>
          <w:bCs/>
        </w:rPr>
        <w:t xml:space="preserve">, y dado que el actor en todo momento ha estado asistido por apoderado judicial, no se explica la tardanza en el ejercicio oportuno de la acción constitucional. </w:t>
      </w:r>
    </w:p>
    <w:p w14:paraId="17F41516" w14:textId="42FF6BDD" w:rsidR="004811A7" w:rsidRDefault="004811A7" w:rsidP="00817589">
      <w:pPr>
        <w:rPr>
          <w:rFonts w:ascii="Arial" w:eastAsia="Arial" w:hAnsi="Arial" w:cs="Arial"/>
          <w:bCs/>
        </w:rPr>
      </w:pPr>
    </w:p>
    <w:p w14:paraId="5BD9D985" w14:textId="7B2D1E69" w:rsidR="002C703F" w:rsidRDefault="002C703F" w:rsidP="00817589">
      <w:pPr>
        <w:rPr>
          <w:rFonts w:ascii="Arial" w:eastAsia="Arial" w:hAnsi="Arial" w:cs="Arial"/>
          <w:bCs/>
        </w:rPr>
      </w:pPr>
      <w:r>
        <w:rPr>
          <w:rFonts w:ascii="Arial" w:eastAsia="Arial" w:hAnsi="Arial" w:cs="Arial"/>
          <w:bCs/>
        </w:rPr>
        <w:t xml:space="preserve">Como argumento subsidiario, en caso de que el juez constitucional decida entrar al fondo del asunto, solicitó que se nieguen las pretensiones de la demanda por inexistencia de vulneración de los derechos fundamentales del accionante. </w:t>
      </w:r>
      <w:r w:rsidR="00F62B83">
        <w:rPr>
          <w:rFonts w:ascii="Arial" w:eastAsia="Arial" w:hAnsi="Arial" w:cs="Arial"/>
          <w:bCs/>
        </w:rPr>
        <w:t>Destac</w:t>
      </w:r>
      <w:r w:rsidR="00A65054">
        <w:rPr>
          <w:rFonts w:ascii="Arial" w:eastAsia="Arial" w:hAnsi="Arial" w:cs="Arial"/>
          <w:bCs/>
        </w:rPr>
        <w:t>ó</w:t>
      </w:r>
      <w:r w:rsidR="00F62B83">
        <w:rPr>
          <w:rFonts w:ascii="Arial" w:eastAsia="Arial" w:hAnsi="Arial" w:cs="Arial"/>
          <w:bCs/>
        </w:rPr>
        <w:t xml:space="preserve"> que la decisión de los jueces del proceso ordinario estuvo ajustada a las normas constitucionales y sustanciales relativas a la responsabilidad extracontractual del Estado por privación injusta de la libertad. Además </w:t>
      </w:r>
      <w:r w:rsidR="00A65054">
        <w:rPr>
          <w:rFonts w:ascii="Arial" w:eastAsia="Arial" w:hAnsi="Arial" w:cs="Arial"/>
          <w:bCs/>
        </w:rPr>
        <w:t>dijo</w:t>
      </w:r>
      <w:r w:rsidR="00F62B83">
        <w:rPr>
          <w:rFonts w:ascii="Arial" w:eastAsia="Arial" w:hAnsi="Arial" w:cs="Arial"/>
          <w:bCs/>
        </w:rPr>
        <w:t xml:space="preserve"> que, la Sala de decisión accionada se acogió</w:t>
      </w:r>
      <w:r w:rsidR="00A65054">
        <w:rPr>
          <w:rFonts w:ascii="Arial" w:eastAsia="Arial" w:hAnsi="Arial" w:cs="Arial"/>
          <w:bCs/>
        </w:rPr>
        <w:t>,</w:t>
      </w:r>
      <w:r w:rsidR="00F62B83">
        <w:rPr>
          <w:rFonts w:ascii="Arial" w:eastAsia="Arial" w:hAnsi="Arial" w:cs="Arial"/>
          <w:bCs/>
        </w:rPr>
        <w:t xml:space="preserve"> como era su deber legal, a la sentencia de unificación de la Corte Constitucional SU 072 de 2018.</w:t>
      </w:r>
    </w:p>
    <w:p w14:paraId="6EFE3C61" w14:textId="77777777" w:rsidR="00AD722B" w:rsidRDefault="00AD722B" w:rsidP="00817589">
      <w:pPr>
        <w:rPr>
          <w:rFonts w:ascii="Arial" w:eastAsia="Arial" w:hAnsi="Arial" w:cs="Arial"/>
        </w:rPr>
      </w:pPr>
    </w:p>
    <w:p w14:paraId="09D9AC29" w14:textId="3E7F11C4" w:rsidR="004811A7" w:rsidRDefault="007632C5" w:rsidP="00817589">
      <w:pPr>
        <w:rPr>
          <w:rFonts w:ascii="Arial" w:eastAsia="Arial" w:hAnsi="Arial" w:cs="Arial"/>
        </w:rPr>
      </w:pPr>
      <w:r>
        <w:rPr>
          <w:rFonts w:ascii="Arial" w:eastAsia="Arial" w:hAnsi="Arial" w:cs="Arial"/>
        </w:rPr>
        <w:t>4.</w:t>
      </w:r>
      <w:r w:rsidR="00817589">
        <w:rPr>
          <w:rFonts w:ascii="Arial" w:eastAsia="Arial" w:hAnsi="Arial" w:cs="Arial"/>
        </w:rPr>
        <w:t>3</w:t>
      </w:r>
      <w:r>
        <w:rPr>
          <w:rFonts w:ascii="Arial" w:eastAsia="Arial" w:hAnsi="Arial" w:cs="Arial"/>
        </w:rPr>
        <w:t>.</w:t>
      </w:r>
      <w:r>
        <w:rPr>
          <w:rFonts w:ascii="Arial" w:eastAsia="Arial" w:hAnsi="Arial" w:cs="Arial"/>
        </w:rPr>
        <w:tab/>
        <w:t xml:space="preserve">La </w:t>
      </w:r>
      <w:r>
        <w:rPr>
          <w:rFonts w:ascii="Arial" w:eastAsia="Arial" w:hAnsi="Arial" w:cs="Arial"/>
          <w:b/>
        </w:rPr>
        <w:t>Fiscalía General de la Nación</w:t>
      </w:r>
      <w:r>
        <w:rPr>
          <w:rFonts w:ascii="Arial" w:eastAsia="Arial" w:hAnsi="Arial" w:cs="Arial"/>
        </w:rPr>
        <w:t xml:space="preserve">, por conducto de la coordinadora de la Unidad de Defensa Jurídica de la Dirección de Asuntos Jurídicos, expuso que el asunto no cumple con el requisito de </w:t>
      </w:r>
      <w:r>
        <w:rPr>
          <w:rFonts w:ascii="Arial" w:eastAsia="Arial" w:hAnsi="Arial" w:cs="Arial"/>
          <w:i/>
        </w:rPr>
        <w:t>subsidiariedad,</w:t>
      </w:r>
      <w:r>
        <w:rPr>
          <w:rFonts w:ascii="Arial" w:eastAsia="Arial" w:hAnsi="Arial" w:cs="Arial"/>
        </w:rPr>
        <w:t xml:space="preserve"> ya que la parte accionante tenía a disposición otros mecanismos judiciales para la protección de sus derechos, y no indicó las razones para no haberlos interpuesto, ni </w:t>
      </w:r>
      <w:r w:rsidR="00134645">
        <w:rPr>
          <w:rFonts w:ascii="Arial" w:eastAsia="Arial" w:hAnsi="Arial" w:cs="Arial"/>
        </w:rPr>
        <w:t>evidenció</w:t>
      </w:r>
      <w:r>
        <w:rPr>
          <w:rFonts w:ascii="Arial" w:eastAsia="Arial" w:hAnsi="Arial" w:cs="Arial"/>
        </w:rPr>
        <w:t xml:space="preserve"> un perjuicio irremediable que justificara la acción de tutela como mecanismo transitorio para evitar su consumación.</w:t>
      </w:r>
    </w:p>
    <w:p w14:paraId="580B86A8" w14:textId="5185D372" w:rsidR="00252B7D" w:rsidRDefault="00252B7D" w:rsidP="00817589">
      <w:pPr>
        <w:rPr>
          <w:rFonts w:ascii="Arial" w:eastAsia="Arial" w:hAnsi="Arial" w:cs="Arial"/>
        </w:rPr>
      </w:pPr>
    </w:p>
    <w:p w14:paraId="3E54AD36" w14:textId="55C2B0CC" w:rsidR="00252B7D" w:rsidRDefault="00252B7D" w:rsidP="00817589">
      <w:pPr>
        <w:rPr>
          <w:rFonts w:ascii="Arial" w:eastAsia="Arial" w:hAnsi="Arial" w:cs="Arial"/>
        </w:rPr>
      </w:pPr>
      <w:r>
        <w:rPr>
          <w:rFonts w:ascii="Arial" w:eastAsia="Arial" w:hAnsi="Arial" w:cs="Arial"/>
        </w:rPr>
        <w:t xml:space="preserve">Expuso que la acción de tutela no fue </w:t>
      </w:r>
      <w:r w:rsidR="00A65054">
        <w:rPr>
          <w:rFonts w:ascii="Arial" w:eastAsia="Arial" w:hAnsi="Arial" w:cs="Arial"/>
        </w:rPr>
        <w:t>interpuesta</w:t>
      </w:r>
      <w:r>
        <w:rPr>
          <w:rFonts w:ascii="Arial" w:eastAsia="Arial" w:hAnsi="Arial" w:cs="Arial"/>
        </w:rPr>
        <w:t xml:space="preserve"> en un plazo razonable, pues el accionante solicit</w:t>
      </w:r>
      <w:r w:rsidR="00A65054">
        <w:rPr>
          <w:rFonts w:ascii="Arial" w:eastAsia="Arial" w:hAnsi="Arial" w:cs="Arial"/>
        </w:rPr>
        <w:t>ó</w:t>
      </w:r>
      <w:r>
        <w:rPr>
          <w:rFonts w:ascii="Arial" w:eastAsia="Arial" w:hAnsi="Arial" w:cs="Arial"/>
        </w:rPr>
        <w:t xml:space="preserve"> el amparo de sus derechos pasados más de 6 meses desde que cobró ejecutoria la decisión que ataca. En esa línea, recordó que la sentencia fue proferida el 28 de agosto de 2019 y notificada el 5 de septiembre del mismo año, siendo evidente que no se cumple con el requisito general de inmediatez.</w:t>
      </w:r>
    </w:p>
    <w:p w14:paraId="01A1FF33" w14:textId="77777777" w:rsidR="00134645" w:rsidRDefault="00134645" w:rsidP="00817589">
      <w:pPr>
        <w:rPr>
          <w:rFonts w:ascii="Arial" w:eastAsia="Arial" w:hAnsi="Arial" w:cs="Arial"/>
        </w:rPr>
      </w:pPr>
    </w:p>
    <w:p w14:paraId="0DAE4F02" w14:textId="62E7B7B3" w:rsidR="00134645" w:rsidRDefault="00134645" w:rsidP="00817589">
      <w:pPr>
        <w:rPr>
          <w:rFonts w:ascii="Arial" w:eastAsia="Arial" w:hAnsi="Arial" w:cs="Arial"/>
        </w:rPr>
      </w:pPr>
      <w:r>
        <w:rPr>
          <w:rFonts w:ascii="Arial" w:eastAsia="Arial" w:hAnsi="Arial" w:cs="Arial"/>
        </w:rPr>
        <w:t>En lo relativo al precedente aplicable al caso concreto, la Fiscalía expuso</w:t>
      </w:r>
      <w:r w:rsidR="007632C5">
        <w:rPr>
          <w:rFonts w:ascii="Arial" w:eastAsia="Arial" w:hAnsi="Arial" w:cs="Arial"/>
        </w:rPr>
        <w:t xml:space="preserve"> que la providencia acusada está conforme </w:t>
      </w:r>
      <w:r>
        <w:rPr>
          <w:rFonts w:ascii="Arial" w:eastAsia="Arial" w:hAnsi="Arial" w:cs="Arial"/>
        </w:rPr>
        <w:t>a la sentencia de unificación, SU 072 de 2018, proferida por</w:t>
      </w:r>
      <w:r w:rsidR="007632C5">
        <w:rPr>
          <w:rFonts w:ascii="Arial" w:eastAsia="Arial" w:hAnsi="Arial" w:cs="Arial"/>
        </w:rPr>
        <w:t xml:space="preserve"> la Corte Constitucional</w:t>
      </w:r>
      <w:r>
        <w:rPr>
          <w:rFonts w:ascii="Arial" w:eastAsia="Arial" w:hAnsi="Arial" w:cs="Arial"/>
        </w:rPr>
        <w:t xml:space="preserve">. En </w:t>
      </w:r>
      <w:r w:rsidR="007632C5">
        <w:rPr>
          <w:rFonts w:ascii="Arial" w:eastAsia="Arial" w:hAnsi="Arial" w:cs="Arial"/>
        </w:rPr>
        <w:t xml:space="preserve">relación con la sentencia de tutela del 15 de noviembre de 2019, que dejó sin efectos la sentencia de unificación del 15 de agosto de 2018, expuso que sus efectos son </w:t>
      </w:r>
      <w:r w:rsidR="008C156A" w:rsidRPr="000E410A">
        <w:rPr>
          <w:rFonts w:ascii="Arial" w:eastAsia="Arial" w:hAnsi="Arial" w:cs="Arial"/>
          <w:i/>
          <w:iCs/>
        </w:rPr>
        <w:t>Inter partes</w:t>
      </w:r>
      <w:r>
        <w:rPr>
          <w:rFonts w:ascii="Arial" w:eastAsia="Arial" w:hAnsi="Arial" w:cs="Arial"/>
          <w:i/>
          <w:iCs/>
        </w:rPr>
        <w:t>,</w:t>
      </w:r>
      <w:r w:rsidR="007632C5">
        <w:rPr>
          <w:rFonts w:ascii="Arial" w:eastAsia="Arial" w:hAnsi="Arial" w:cs="Arial"/>
        </w:rPr>
        <w:t xml:space="preserve"> por lo que no se le puede tener como precedente, sino apenas como doctrina constitucional.</w:t>
      </w:r>
      <w:r>
        <w:rPr>
          <w:rFonts w:ascii="Arial" w:eastAsia="Arial" w:hAnsi="Arial" w:cs="Arial"/>
        </w:rPr>
        <w:t xml:space="preserve"> En todo caso, advirtió qu</w:t>
      </w:r>
      <w:r w:rsidR="007632C5">
        <w:rPr>
          <w:rFonts w:ascii="Arial" w:eastAsia="Arial" w:hAnsi="Arial" w:cs="Arial"/>
        </w:rPr>
        <w:t xml:space="preserve">e la sentencia que se acusa acogió las reglas de la jurisprudencia vigente para el momento en que fue proferida, esto es, la sentencia de unificación del 15 de agosto de 2018, por lo que no hay lugar a declarar el defecto sustantivo. </w:t>
      </w:r>
    </w:p>
    <w:p w14:paraId="3BD7453F" w14:textId="77777777" w:rsidR="00134645" w:rsidRDefault="00134645" w:rsidP="00817589">
      <w:pPr>
        <w:rPr>
          <w:rFonts w:ascii="Arial" w:eastAsia="Arial" w:hAnsi="Arial" w:cs="Arial"/>
        </w:rPr>
      </w:pPr>
    </w:p>
    <w:p w14:paraId="78794858" w14:textId="7319B23A" w:rsidR="004811A7" w:rsidRDefault="00134645" w:rsidP="00817589">
      <w:pPr>
        <w:rPr>
          <w:rFonts w:ascii="Arial" w:eastAsia="Arial" w:hAnsi="Arial" w:cs="Arial"/>
        </w:rPr>
      </w:pPr>
      <w:r>
        <w:rPr>
          <w:rFonts w:ascii="Arial" w:eastAsia="Arial" w:hAnsi="Arial" w:cs="Arial"/>
        </w:rPr>
        <w:t>De acuerdo con lo anterior, concluyó que dar prevalencia a esta sentencia de tutela, “atentaría” contra las decisiones del Consejo de Estado que defienden una tesis diferente en relación con el estudio del título de imputación de privación injusta de la libertad</w:t>
      </w:r>
    </w:p>
    <w:p w14:paraId="5FD949C9" w14:textId="77777777" w:rsidR="004811A7" w:rsidRDefault="007632C5" w:rsidP="00817589">
      <w:pPr>
        <w:rPr>
          <w:rFonts w:ascii="Arial" w:eastAsia="Arial" w:hAnsi="Arial" w:cs="Arial"/>
        </w:rPr>
      </w:pPr>
      <w:r>
        <w:rPr>
          <w:rFonts w:ascii="Arial" w:eastAsia="Arial" w:hAnsi="Arial" w:cs="Arial"/>
        </w:rPr>
        <w:t xml:space="preserve"> </w:t>
      </w:r>
    </w:p>
    <w:p w14:paraId="25A4940C" w14:textId="0241B27A" w:rsidR="008E2D35" w:rsidRDefault="007632C5">
      <w:pPr>
        <w:rPr>
          <w:rFonts w:ascii="Arial" w:eastAsia="Arial" w:hAnsi="Arial" w:cs="Arial"/>
        </w:rPr>
      </w:pPr>
      <w:r>
        <w:rPr>
          <w:rFonts w:ascii="Arial" w:eastAsia="Arial" w:hAnsi="Arial" w:cs="Arial"/>
        </w:rPr>
        <w:lastRenderedPageBreak/>
        <w:t>4.4.</w:t>
      </w:r>
      <w:r>
        <w:rPr>
          <w:rFonts w:ascii="Arial" w:eastAsia="Arial" w:hAnsi="Arial" w:cs="Arial"/>
        </w:rPr>
        <w:tab/>
      </w:r>
      <w:r w:rsidR="00D2132F">
        <w:rPr>
          <w:rFonts w:ascii="Arial" w:eastAsia="Arial" w:hAnsi="Arial" w:cs="Arial"/>
        </w:rPr>
        <w:t xml:space="preserve">El </w:t>
      </w:r>
      <w:r w:rsidR="00D2132F" w:rsidRPr="00D2132F">
        <w:rPr>
          <w:rFonts w:ascii="Arial" w:eastAsia="Arial" w:hAnsi="Arial" w:cs="Arial"/>
          <w:b/>
          <w:bCs/>
        </w:rPr>
        <w:t>Ministerio de Defensa</w:t>
      </w:r>
      <w:r w:rsidR="00D2132F">
        <w:rPr>
          <w:rFonts w:ascii="Arial" w:eastAsia="Arial" w:hAnsi="Arial" w:cs="Arial"/>
        </w:rPr>
        <w:t>, por conducto de la coordinadora del grupo contencioso constitucional, solicitó que se declare la improcedencia de la acción de tutela</w:t>
      </w:r>
      <w:r w:rsidR="00134645">
        <w:rPr>
          <w:rFonts w:ascii="Arial" w:eastAsia="Arial" w:hAnsi="Arial" w:cs="Arial"/>
        </w:rPr>
        <w:t xml:space="preserve">, </w:t>
      </w:r>
      <w:r w:rsidR="00D2132F">
        <w:rPr>
          <w:rFonts w:ascii="Arial" w:eastAsia="Arial" w:hAnsi="Arial" w:cs="Arial"/>
        </w:rPr>
        <w:t>porque no cumple con el requisito general de inmediatez</w:t>
      </w:r>
      <w:r w:rsidR="008E2D35">
        <w:rPr>
          <w:rFonts w:ascii="Arial" w:eastAsia="Arial" w:hAnsi="Arial" w:cs="Arial"/>
        </w:rPr>
        <w:t xml:space="preserve">. </w:t>
      </w:r>
      <w:r w:rsidR="00134645">
        <w:rPr>
          <w:rFonts w:ascii="Arial" w:eastAsia="Arial" w:hAnsi="Arial" w:cs="Arial"/>
        </w:rPr>
        <w:t xml:space="preserve">Ello es así porque </w:t>
      </w:r>
      <w:r w:rsidR="008E2D35">
        <w:rPr>
          <w:rFonts w:ascii="Arial" w:eastAsia="Arial" w:hAnsi="Arial" w:cs="Arial"/>
        </w:rPr>
        <w:t xml:space="preserve">la decisión que se acusa fue proferida el 28 de agosto de 2019, es </w:t>
      </w:r>
      <w:r w:rsidR="00975D42">
        <w:rPr>
          <w:rFonts w:ascii="Arial" w:eastAsia="Arial" w:hAnsi="Arial" w:cs="Arial"/>
        </w:rPr>
        <w:t>decir que</w:t>
      </w:r>
      <w:r w:rsidR="008E2D35">
        <w:rPr>
          <w:rFonts w:ascii="Arial" w:eastAsia="Arial" w:hAnsi="Arial" w:cs="Arial"/>
        </w:rPr>
        <w:t xml:space="preserve"> superó el plazo razonable de 6 meses establecido en la jurisprudencia del Consejo de Estado. Agreg</w:t>
      </w:r>
      <w:r w:rsidR="00134645">
        <w:rPr>
          <w:rFonts w:ascii="Arial" w:eastAsia="Arial" w:hAnsi="Arial" w:cs="Arial"/>
        </w:rPr>
        <w:t>ó</w:t>
      </w:r>
      <w:r w:rsidR="008E2D35">
        <w:rPr>
          <w:rFonts w:ascii="Arial" w:eastAsia="Arial" w:hAnsi="Arial" w:cs="Arial"/>
        </w:rPr>
        <w:t xml:space="preserve"> que en el escrito de tutela no se expuso razón alguna que justifi</w:t>
      </w:r>
      <w:r w:rsidR="00975D42">
        <w:rPr>
          <w:rFonts w:ascii="Arial" w:eastAsia="Arial" w:hAnsi="Arial" w:cs="Arial"/>
        </w:rPr>
        <w:t>que</w:t>
      </w:r>
      <w:r w:rsidR="008E2D35">
        <w:rPr>
          <w:rFonts w:ascii="Arial" w:eastAsia="Arial" w:hAnsi="Arial" w:cs="Arial"/>
        </w:rPr>
        <w:t xml:space="preserve"> la interposición tardía del mecanismo constitucional. Aclar</w:t>
      </w:r>
      <w:r w:rsidR="00975D42">
        <w:rPr>
          <w:rFonts w:ascii="Arial" w:eastAsia="Arial" w:hAnsi="Arial" w:cs="Arial"/>
        </w:rPr>
        <w:t>ó</w:t>
      </w:r>
      <w:r w:rsidR="008E2D35">
        <w:rPr>
          <w:rFonts w:ascii="Arial" w:eastAsia="Arial" w:hAnsi="Arial" w:cs="Arial"/>
        </w:rPr>
        <w:t xml:space="preserve"> que a pesar de la cuarentena los términos judiciales de las acciones de tutela siguieron corriendo y se autorizó la radicación de estas</w:t>
      </w:r>
      <w:r w:rsidR="00975D42">
        <w:rPr>
          <w:rFonts w:ascii="Arial" w:eastAsia="Arial" w:hAnsi="Arial" w:cs="Arial"/>
        </w:rPr>
        <w:t>,</w:t>
      </w:r>
      <w:r w:rsidR="008E2D35">
        <w:rPr>
          <w:rFonts w:ascii="Arial" w:eastAsia="Arial" w:hAnsi="Arial" w:cs="Arial"/>
        </w:rPr>
        <w:t xml:space="preserve"> vía correo electrónico. </w:t>
      </w:r>
    </w:p>
    <w:p w14:paraId="110825BD" w14:textId="009C7857" w:rsidR="00D2132F" w:rsidRDefault="00D2132F">
      <w:pPr>
        <w:rPr>
          <w:rFonts w:ascii="Arial" w:eastAsia="Arial" w:hAnsi="Arial" w:cs="Arial"/>
        </w:rPr>
      </w:pPr>
    </w:p>
    <w:p w14:paraId="0DC14952" w14:textId="1C9ADEE5" w:rsidR="00D2132F" w:rsidRDefault="00975D42">
      <w:pPr>
        <w:rPr>
          <w:rFonts w:ascii="Arial" w:eastAsia="Arial" w:hAnsi="Arial" w:cs="Arial"/>
        </w:rPr>
      </w:pPr>
      <w:r>
        <w:rPr>
          <w:rFonts w:ascii="Arial" w:eastAsia="Arial" w:hAnsi="Arial" w:cs="Arial"/>
        </w:rPr>
        <w:t>Advirtió</w:t>
      </w:r>
      <w:r w:rsidR="00D2132F">
        <w:rPr>
          <w:rFonts w:ascii="Arial" w:eastAsia="Arial" w:hAnsi="Arial" w:cs="Arial"/>
        </w:rPr>
        <w:t xml:space="preserve"> que la figura de la prescripción de la acción penal no equivale a absolución. La prescripción de la acción penal en </w:t>
      </w:r>
      <w:r>
        <w:rPr>
          <w:rFonts w:ascii="Arial" w:eastAsia="Arial" w:hAnsi="Arial" w:cs="Arial"/>
        </w:rPr>
        <w:t>el</w:t>
      </w:r>
      <w:r w:rsidR="00D2132F">
        <w:rPr>
          <w:rFonts w:ascii="Arial" w:eastAsia="Arial" w:hAnsi="Arial" w:cs="Arial"/>
        </w:rPr>
        <w:t xml:space="preserve"> </w:t>
      </w:r>
      <w:r>
        <w:rPr>
          <w:rFonts w:ascii="Arial" w:eastAsia="Arial" w:hAnsi="Arial" w:cs="Arial"/>
        </w:rPr>
        <w:t>proceso del accionante</w:t>
      </w:r>
      <w:r w:rsidR="00D2132F">
        <w:rPr>
          <w:rFonts w:ascii="Arial" w:eastAsia="Arial" w:hAnsi="Arial" w:cs="Arial"/>
        </w:rPr>
        <w:t xml:space="preserve"> se dio como un beneficio en atención a las especiales circunstancias que rodearon su caso y por el paso del tiempo, por lo que no es dable alegar que la materialización de esta figura l</w:t>
      </w:r>
      <w:r>
        <w:rPr>
          <w:rFonts w:ascii="Arial" w:eastAsia="Arial" w:hAnsi="Arial" w:cs="Arial"/>
        </w:rPr>
        <w:t>e</w:t>
      </w:r>
      <w:r w:rsidR="00D2132F">
        <w:rPr>
          <w:rFonts w:ascii="Arial" w:eastAsia="Arial" w:hAnsi="Arial" w:cs="Arial"/>
        </w:rPr>
        <w:t xml:space="preserve"> ocasionó un perjuicio sino todo lo contrario. En esa línea, </w:t>
      </w:r>
      <w:r w:rsidR="00817589">
        <w:rPr>
          <w:rFonts w:ascii="Arial" w:eastAsia="Arial" w:hAnsi="Arial" w:cs="Arial"/>
        </w:rPr>
        <w:t xml:space="preserve">la prescripción de la acción penal es </w:t>
      </w:r>
      <w:r w:rsidR="00D2132F">
        <w:rPr>
          <w:rFonts w:ascii="Arial" w:eastAsia="Arial" w:hAnsi="Arial" w:cs="Arial"/>
        </w:rPr>
        <w:t xml:space="preserve">una figura netamente procesal que no guarda relación con el juicio de responsabilidad penal del sindicado. </w:t>
      </w:r>
    </w:p>
    <w:p w14:paraId="6F4D6573" w14:textId="77777777" w:rsidR="00D2132F" w:rsidRDefault="00D2132F">
      <w:pPr>
        <w:rPr>
          <w:rFonts w:ascii="Arial" w:eastAsia="Arial" w:hAnsi="Arial" w:cs="Arial"/>
        </w:rPr>
      </w:pPr>
    </w:p>
    <w:p w14:paraId="2DF07A90" w14:textId="28CE167A" w:rsidR="004811A7" w:rsidRDefault="00D2132F">
      <w:pPr>
        <w:rPr>
          <w:rFonts w:ascii="Arial" w:eastAsia="Arial" w:hAnsi="Arial" w:cs="Arial"/>
        </w:rPr>
      </w:pPr>
      <w:r>
        <w:rPr>
          <w:rFonts w:ascii="Arial" w:eastAsia="Arial" w:hAnsi="Arial" w:cs="Arial"/>
        </w:rPr>
        <w:t>4.5. E</w:t>
      </w:r>
      <w:r w:rsidR="007632C5">
        <w:rPr>
          <w:rFonts w:ascii="Arial" w:eastAsia="Arial" w:hAnsi="Arial" w:cs="Arial"/>
        </w:rPr>
        <w:t xml:space="preserve">l </w:t>
      </w:r>
      <w:r w:rsidR="007632C5">
        <w:rPr>
          <w:rFonts w:ascii="Arial" w:eastAsia="Arial" w:hAnsi="Arial" w:cs="Arial"/>
          <w:b/>
        </w:rPr>
        <w:t>Consejo de Estado, Sección Tercera, Subsección “</w:t>
      </w:r>
      <w:r w:rsidR="00123F48">
        <w:rPr>
          <w:rFonts w:ascii="Arial" w:eastAsia="Arial" w:hAnsi="Arial" w:cs="Arial"/>
          <w:b/>
        </w:rPr>
        <w:t>A</w:t>
      </w:r>
      <w:r w:rsidR="007632C5">
        <w:rPr>
          <w:rFonts w:ascii="Arial" w:eastAsia="Arial" w:hAnsi="Arial" w:cs="Arial"/>
          <w:b/>
        </w:rPr>
        <w:t>”</w:t>
      </w:r>
      <w:r w:rsidR="007632C5">
        <w:rPr>
          <w:rFonts w:ascii="Arial" w:eastAsia="Arial" w:hAnsi="Arial" w:cs="Arial"/>
        </w:rPr>
        <w:t>, por conducto de</w:t>
      </w:r>
      <w:r w:rsidR="00975D42">
        <w:rPr>
          <w:rFonts w:ascii="Arial" w:eastAsia="Arial" w:hAnsi="Arial" w:cs="Arial"/>
        </w:rPr>
        <w:t xml:space="preserve"> la </w:t>
      </w:r>
      <w:r w:rsidR="007632C5">
        <w:rPr>
          <w:rFonts w:ascii="Arial" w:eastAsia="Arial" w:hAnsi="Arial" w:cs="Arial"/>
        </w:rPr>
        <w:t>magistrad</w:t>
      </w:r>
      <w:r w:rsidR="00975D42">
        <w:rPr>
          <w:rFonts w:ascii="Arial" w:eastAsia="Arial" w:hAnsi="Arial" w:cs="Arial"/>
        </w:rPr>
        <w:t>a</w:t>
      </w:r>
      <w:r w:rsidR="007632C5">
        <w:rPr>
          <w:rFonts w:ascii="Arial" w:eastAsia="Arial" w:hAnsi="Arial" w:cs="Arial"/>
        </w:rPr>
        <w:t xml:space="preserve"> ponente de la decisión, solicitó que se declare improcedente la acción de tutela </w:t>
      </w:r>
      <w:r w:rsidR="00123F48">
        <w:rPr>
          <w:rFonts w:ascii="Arial" w:eastAsia="Arial" w:hAnsi="Arial" w:cs="Arial"/>
        </w:rPr>
        <w:t xml:space="preserve">dado que el mecanismo constitucional </w:t>
      </w:r>
      <w:r w:rsidR="00975D42">
        <w:rPr>
          <w:rFonts w:ascii="Arial" w:eastAsia="Arial" w:hAnsi="Arial" w:cs="Arial"/>
        </w:rPr>
        <w:t>está</w:t>
      </w:r>
      <w:r w:rsidR="00123F48">
        <w:rPr>
          <w:rFonts w:ascii="Arial" w:eastAsia="Arial" w:hAnsi="Arial" w:cs="Arial"/>
        </w:rPr>
        <w:t xml:space="preserve"> siendo utilizad</w:t>
      </w:r>
      <w:r w:rsidR="00975D42">
        <w:rPr>
          <w:rFonts w:ascii="Arial" w:eastAsia="Arial" w:hAnsi="Arial" w:cs="Arial"/>
        </w:rPr>
        <w:t>o</w:t>
      </w:r>
      <w:r w:rsidR="00123F48">
        <w:rPr>
          <w:rFonts w:ascii="Arial" w:eastAsia="Arial" w:hAnsi="Arial" w:cs="Arial"/>
        </w:rPr>
        <w:t xml:space="preserve"> como una tercera instancia con el propósito de reabrir el debate relativo a la valoración de los medios de prueba y jurisprudencia vinculante y vigente. </w:t>
      </w:r>
    </w:p>
    <w:p w14:paraId="65FFF684" w14:textId="27A10B2F" w:rsidR="00123F48" w:rsidRDefault="00123F48">
      <w:pPr>
        <w:rPr>
          <w:rFonts w:ascii="Arial" w:eastAsia="Arial" w:hAnsi="Arial" w:cs="Arial"/>
        </w:rPr>
      </w:pPr>
    </w:p>
    <w:p w14:paraId="6836CCC2" w14:textId="3B5D9CAD" w:rsidR="00123F48" w:rsidRDefault="00123F48">
      <w:pPr>
        <w:rPr>
          <w:rFonts w:ascii="Arial" w:eastAsia="Arial" w:hAnsi="Arial" w:cs="Arial"/>
        </w:rPr>
      </w:pPr>
      <w:r>
        <w:rPr>
          <w:rFonts w:ascii="Arial" w:eastAsia="Arial" w:hAnsi="Arial" w:cs="Arial"/>
        </w:rPr>
        <w:t>En lo atinente a la sentencia del 15 de noviembre de 2019</w:t>
      </w:r>
      <w:r w:rsidR="00975D42">
        <w:rPr>
          <w:rFonts w:ascii="Arial" w:eastAsia="Arial" w:hAnsi="Arial" w:cs="Arial"/>
        </w:rPr>
        <w:t>,</w:t>
      </w:r>
      <w:r>
        <w:rPr>
          <w:rFonts w:ascii="Arial" w:eastAsia="Arial" w:hAnsi="Arial" w:cs="Arial"/>
        </w:rPr>
        <w:t xml:space="preserve"> con ponencia del magistrado Martín Bermúdez, expuso que sus premisas fácticas y jurídicas son diferentes a las del caso que se analiza</w:t>
      </w:r>
      <w:r w:rsidR="00975D42">
        <w:rPr>
          <w:rFonts w:ascii="Arial" w:eastAsia="Arial" w:hAnsi="Arial" w:cs="Arial"/>
        </w:rPr>
        <w:t>,</w:t>
      </w:r>
      <w:r>
        <w:rPr>
          <w:rFonts w:ascii="Arial" w:eastAsia="Arial" w:hAnsi="Arial" w:cs="Arial"/>
        </w:rPr>
        <w:t xml:space="preserve"> pues </w:t>
      </w:r>
      <w:r w:rsidR="00975D42">
        <w:rPr>
          <w:rFonts w:ascii="Arial" w:eastAsia="Arial" w:hAnsi="Arial" w:cs="Arial"/>
        </w:rPr>
        <w:t>en esta ocasión</w:t>
      </w:r>
      <w:r>
        <w:rPr>
          <w:rFonts w:ascii="Arial" w:eastAsia="Arial" w:hAnsi="Arial" w:cs="Arial"/>
        </w:rPr>
        <w:t xml:space="preserve"> no se </w:t>
      </w:r>
      <w:r w:rsidR="00975D42">
        <w:rPr>
          <w:rFonts w:ascii="Arial" w:eastAsia="Arial" w:hAnsi="Arial" w:cs="Arial"/>
        </w:rPr>
        <w:t>estudió</w:t>
      </w:r>
      <w:r>
        <w:rPr>
          <w:rFonts w:ascii="Arial" w:eastAsia="Arial" w:hAnsi="Arial" w:cs="Arial"/>
        </w:rPr>
        <w:t xml:space="preserve"> la </w:t>
      </w:r>
      <w:r w:rsidR="00975D42">
        <w:rPr>
          <w:rFonts w:ascii="Arial" w:eastAsia="Arial" w:hAnsi="Arial" w:cs="Arial"/>
        </w:rPr>
        <w:t>configuración de</w:t>
      </w:r>
      <w:r>
        <w:rPr>
          <w:rFonts w:ascii="Arial" w:eastAsia="Arial" w:hAnsi="Arial" w:cs="Arial"/>
        </w:rPr>
        <w:t xml:space="preserve"> eximente de responsabilidad del hecho de la víctima, sino que se negaron las pretensiones de la demanda por no encontrar acreditado el elemento de antijuridicidad del daño</w:t>
      </w:r>
      <w:r w:rsidR="00817589">
        <w:rPr>
          <w:rFonts w:ascii="Arial" w:eastAsia="Arial" w:hAnsi="Arial" w:cs="Arial"/>
        </w:rPr>
        <w:t>, y concluyó</w:t>
      </w:r>
      <w:r w:rsidR="00B616E1">
        <w:rPr>
          <w:rFonts w:ascii="Arial" w:eastAsia="Arial" w:hAnsi="Arial" w:cs="Arial"/>
        </w:rPr>
        <w:t xml:space="preserve"> que la medida de aseguramiento no fue irrazonable, desproporcionada ni injusta. </w:t>
      </w:r>
    </w:p>
    <w:p w14:paraId="274E616D" w14:textId="04FC5789" w:rsidR="00B616E1" w:rsidRDefault="00B616E1">
      <w:pPr>
        <w:rPr>
          <w:rFonts w:ascii="Arial" w:eastAsia="Arial" w:hAnsi="Arial" w:cs="Arial"/>
        </w:rPr>
      </w:pPr>
    </w:p>
    <w:p w14:paraId="5FB6DA71" w14:textId="4B2025F5" w:rsidR="00B616E1" w:rsidRDefault="00975D42">
      <w:pPr>
        <w:rPr>
          <w:rFonts w:ascii="Arial" w:eastAsia="Arial" w:hAnsi="Arial" w:cs="Arial"/>
        </w:rPr>
      </w:pPr>
      <w:r>
        <w:rPr>
          <w:rFonts w:ascii="Arial" w:eastAsia="Arial" w:hAnsi="Arial" w:cs="Arial"/>
        </w:rPr>
        <w:t>Respecto del</w:t>
      </w:r>
      <w:r w:rsidR="00B616E1">
        <w:rPr>
          <w:rFonts w:ascii="Arial" w:eastAsia="Arial" w:hAnsi="Arial" w:cs="Arial"/>
        </w:rPr>
        <w:t xml:space="preserve"> título de imputación bajo el cual se analizó la privación de la libertad, recordó que</w:t>
      </w:r>
      <w:r>
        <w:rPr>
          <w:rFonts w:ascii="Arial" w:eastAsia="Arial" w:hAnsi="Arial" w:cs="Arial"/>
        </w:rPr>
        <w:t xml:space="preserve"> en</w:t>
      </w:r>
      <w:r w:rsidR="00B616E1">
        <w:rPr>
          <w:rFonts w:ascii="Arial" w:eastAsia="Arial" w:hAnsi="Arial" w:cs="Arial"/>
        </w:rPr>
        <w:t xml:space="preserve"> la sentencia SU 072 de 2018</w:t>
      </w:r>
      <w:r>
        <w:rPr>
          <w:rFonts w:ascii="Arial" w:eastAsia="Arial" w:hAnsi="Arial" w:cs="Arial"/>
        </w:rPr>
        <w:t>, la Corte Constitucional</w:t>
      </w:r>
      <w:r w:rsidR="00B616E1">
        <w:rPr>
          <w:rFonts w:ascii="Arial" w:eastAsia="Arial" w:hAnsi="Arial" w:cs="Arial"/>
        </w:rPr>
        <w:t xml:space="preserve"> </w:t>
      </w:r>
      <w:r>
        <w:rPr>
          <w:rFonts w:ascii="Arial" w:eastAsia="Arial" w:hAnsi="Arial" w:cs="Arial"/>
        </w:rPr>
        <w:t>dijo</w:t>
      </w:r>
      <w:r w:rsidR="00B616E1">
        <w:rPr>
          <w:rFonts w:ascii="Arial" w:eastAsia="Arial" w:hAnsi="Arial" w:cs="Arial"/>
        </w:rPr>
        <w:t xml:space="preserve"> que no es dable predeterminar un título de imputación para analizar estos </w:t>
      </w:r>
      <w:r>
        <w:rPr>
          <w:rFonts w:ascii="Arial" w:eastAsia="Arial" w:hAnsi="Arial" w:cs="Arial"/>
        </w:rPr>
        <w:t>asuntos</w:t>
      </w:r>
      <w:r w:rsidR="00B616E1">
        <w:rPr>
          <w:rFonts w:ascii="Arial" w:eastAsia="Arial" w:hAnsi="Arial" w:cs="Arial"/>
        </w:rPr>
        <w:t>, sino que debe establecerse en atención a las particularidades del caso concreto</w:t>
      </w:r>
      <w:r>
        <w:rPr>
          <w:rFonts w:ascii="Arial" w:eastAsia="Arial" w:hAnsi="Arial" w:cs="Arial"/>
        </w:rPr>
        <w:t xml:space="preserve">. </w:t>
      </w:r>
    </w:p>
    <w:p w14:paraId="0AC4DA9A" w14:textId="3D02F35A" w:rsidR="00B616E1" w:rsidRDefault="00B616E1">
      <w:pPr>
        <w:rPr>
          <w:rFonts w:ascii="Arial" w:eastAsia="Arial" w:hAnsi="Arial" w:cs="Arial"/>
        </w:rPr>
      </w:pPr>
    </w:p>
    <w:p w14:paraId="6540D80B" w14:textId="77777777" w:rsidR="00586462" w:rsidRDefault="00B616E1">
      <w:pPr>
        <w:rPr>
          <w:rFonts w:ascii="Arial" w:eastAsia="Arial" w:hAnsi="Arial" w:cs="Arial"/>
        </w:rPr>
      </w:pPr>
      <w:r>
        <w:rPr>
          <w:rFonts w:ascii="Arial" w:eastAsia="Arial" w:hAnsi="Arial" w:cs="Arial"/>
        </w:rPr>
        <w:t xml:space="preserve">4.6. </w:t>
      </w:r>
      <w:r w:rsidR="006A3425">
        <w:rPr>
          <w:rFonts w:ascii="Arial" w:eastAsia="Arial" w:hAnsi="Arial" w:cs="Arial"/>
        </w:rPr>
        <w:t xml:space="preserve">El </w:t>
      </w:r>
      <w:r w:rsidR="006A3425" w:rsidRPr="00975D42">
        <w:rPr>
          <w:rFonts w:ascii="Arial" w:eastAsia="Arial" w:hAnsi="Arial" w:cs="Arial"/>
          <w:b/>
          <w:bCs/>
        </w:rPr>
        <w:t>Tribunal Administrativo del Valle del Cauca</w:t>
      </w:r>
      <w:r w:rsidR="006A3425">
        <w:rPr>
          <w:rFonts w:ascii="Arial" w:eastAsia="Arial" w:hAnsi="Arial" w:cs="Arial"/>
        </w:rPr>
        <w:t xml:space="preserve"> informó la imposibilidad de notificar a los terceros vinculados </w:t>
      </w:r>
      <w:r w:rsidR="00975D42">
        <w:rPr>
          <w:rFonts w:ascii="Arial" w:eastAsia="Arial" w:hAnsi="Arial" w:cs="Arial"/>
        </w:rPr>
        <w:t xml:space="preserve">la existencia de esta </w:t>
      </w:r>
      <w:r w:rsidR="006A3425">
        <w:rPr>
          <w:rFonts w:ascii="Arial" w:eastAsia="Arial" w:hAnsi="Arial" w:cs="Arial"/>
        </w:rPr>
        <w:t>acción de tutela</w:t>
      </w:r>
      <w:r w:rsidR="00AF7984">
        <w:rPr>
          <w:rFonts w:ascii="Arial" w:eastAsia="Arial" w:hAnsi="Arial" w:cs="Arial"/>
        </w:rPr>
        <w:t xml:space="preserve">, </w:t>
      </w:r>
      <w:r w:rsidR="006A3425">
        <w:rPr>
          <w:rFonts w:ascii="Arial" w:eastAsia="Arial" w:hAnsi="Arial" w:cs="Arial"/>
        </w:rPr>
        <w:t xml:space="preserve">debido a que </w:t>
      </w:r>
      <w:r w:rsidR="000E177F">
        <w:rPr>
          <w:rFonts w:ascii="Arial" w:eastAsia="Arial" w:hAnsi="Arial" w:cs="Arial"/>
        </w:rPr>
        <w:t>en</w:t>
      </w:r>
      <w:r w:rsidR="006A3425">
        <w:rPr>
          <w:rFonts w:ascii="Arial" w:eastAsia="Arial" w:hAnsi="Arial" w:cs="Arial"/>
        </w:rPr>
        <w:t xml:space="preserve"> el expediente ordinario solo obraba la dirección del abogado que los representó</w:t>
      </w:r>
      <w:r w:rsidR="00975D42">
        <w:rPr>
          <w:rFonts w:ascii="Arial" w:eastAsia="Arial" w:hAnsi="Arial" w:cs="Arial"/>
        </w:rPr>
        <w:t>.</w:t>
      </w:r>
      <w:r w:rsidR="006A3425">
        <w:rPr>
          <w:rFonts w:ascii="Arial" w:eastAsia="Arial" w:hAnsi="Arial" w:cs="Arial"/>
        </w:rPr>
        <w:t xml:space="preserve"> </w:t>
      </w:r>
    </w:p>
    <w:p w14:paraId="217B1293" w14:textId="77777777" w:rsidR="00586462" w:rsidRDefault="00586462">
      <w:pPr>
        <w:rPr>
          <w:rFonts w:ascii="Arial" w:eastAsia="Arial" w:hAnsi="Arial" w:cs="Arial"/>
        </w:rPr>
      </w:pPr>
    </w:p>
    <w:p w14:paraId="621AAF0C" w14:textId="23A908E9" w:rsidR="00586462" w:rsidRPr="00586462" w:rsidRDefault="00586462">
      <w:pPr>
        <w:rPr>
          <w:rFonts w:ascii="Arial" w:eastAsia="Arial" w:hAnsi="Arial" w:cs="Arial"/>
          <w:b/>
          <w:bCs/>
        </w:rPr>
      </w:pPr>
      <w:r w:rsidRPr="00586462">
        <w:rPr>
          <w:rFonts w:ascii="Arial" w:eastAsia="Arial" w:hAnsi="Arial" w:cs="Arial"/>
          <w:b/>
          <w:bCs/>
        </w:rPr>
        <w:t>5.</w:t>
      </w:r>
      <w:r w:rsidRPr="00586462">
        <w:rPr>
          <w:rFonts w:ascii="Arial" w:eastAsia="Arial" w:hAnsi="Arial" w:cs="Arial"/>
          <w:b/>
          <w:bCs/>
        </w:rPr>
        <w:tab/>
      </w:r>
      <w:r>
        <w:rPr>
          <w:rFonts w:ascii="Arial" w:eastAsia="Arial" w:hAnsi="Arial" w:cs="Arial"/>
          <w:b/>
          <w:bCs/>
        </w:rPr>
        <w:t>A</w:t>
      </w:r>
      <w:r w:rsidRPr="00586462">
        <w:rPr>
          <w:rFonts w:ascii="Arial" w:eastAsia="Arial" w:hAnsi="Arial" w:cs="Arial"/>
          <w:b/>
          <w:bCs/>
        </w:rPr>
        <w:t>ctuación posterior</w:t>
      </w:r>
    </w:p>
    <w:p w14:paraId="682E1FD1" w14:textId="77777777" w:rsidR="00586462" w:rsidRDefault="00586462">
      <w:pPr>
        <w:rPr>
          <w:rFonts w:ascii="Arial" w:eastAsia="Arial" w:hAnsi="Arial" w:cs="Arial"/>
        </w:rPr>
      </w:pPr>
    </w:p>
    <w:p w14:paraId="353EA062" w14:textId="14656007" w:rsidR="00B616E1" w:rsidRDefault="00586462">
      <w:pPr>
        <w:rPr>
          <w:rFonts w:ascii="Arial" w:eastAsia="Arial" w:hAnsi="Arial" w:cs="Arial"/>
        </w:rPr>
      </w:pPr>
      <w:r>
        <w:rPr>
          <w:rFonts w:ascii="Arial" w:eastAsia="Arial" w:hAnsi="Arial" w:cs="Arial"/>
        </w:rPr>
        <w:t>5.1.</w:t>
      </w:r>
      <w:r>
        <w:rPr>
          <w:rFonts w:ascii="Arial" w:eastAsia="Arial" w:hAnsi="Arial" w:cs="Arial"/>
        </w:rPr>
        <w:tab/>
        <w:t xml:space="preserve">Teniendo en cuenta el informe rendido por el Tribunal Administrativo del Valle del Cauca, </w:t>
      </w:r>
      <w:r w:rsidR="006A3425">
        <w:rPr>
          <w:rFonts w:ascii="Arial" w:eastAsia="Arial" w:hAnsi="Arial" w:cs="Arial"/>
        </w:rPr>
        <w:t xml:space="preserve">por medio de </w:t>
      </w:r>
      <w:r w:rsidR="00AF7984">
        <w:rPr>
          <w:rFonts w:ascii="Arial" w:eastAsia="Arial" w:hAnsi="Arial" w:cs="Arial"/>
        </w:rPr>
        <w:t>la S</w:t>
      </w:r>
      <w:r w:rsidR="006A3425">
        <w:rPr>
          <w:rFonts w:ascii="Arial" w:eastAsia="Arial" w:hAnsi="Arial" w:cs="Arial"/>
        </w:rPr>
        <w:t>ecretaría</w:t>
      </w:r>
      <w:r w:rsidR="007E46BF">
        <w:rPr>
          <w:rFonts w:ascii="Arial" w:eastAsia="Arial" w:hAnsi="Arial" w:cs="Arial"/>
        </w:rPr>
        <w:t xml:space="preserve"> General</w:t>
      </w:r>
      <w:r w:rsidR="00AF7984">
        <w:rPr>
          <w:rFonts w:ascii="Arial" w:eastAsia="Arial" w:hAnsi="Arial" w:cs="Arial"/>
        </w:rPr>
        <w:t xml:space="preserve"> de </w:t>
      </w:r>
      <w:r w:rsidR="00817589">
        <w:rPr>
          <w:rFonts w:ascii="Arial" w:eastAsia="Arial" w:hAnsi="Arial" w:cs="Arial"/>
        </w:rPr>
        <w:t>la</w:t>
      </w:r>
      <w:r w:rsidR="00AF7984">
        <w:rPr>
          <w:rFonts w:ascii="Arial" w:eastAsia="Arial" w:hAnsi="Arial" w:cs="Arial"/>
        </w:rPr>
        <w:t xml:space="preserve"> Corporación</w:t>
      </w:r>
      <w:r w:rsidR="006A3425">
        <w:rPr>
          <w:rFonts w:ascii="Arial" w:eastAsia="Arial" w:hAnsi="Arial" w:cs="Arial"/>
        </w:rPr>
        <w:t>, se requi</w:t>
      </w:r>
      <w:r w:rsidR="000E177F">
        <w:rPr>
          <w:rFonts w:ascii="Arial" w:eastAsia="Arial" w:hAnsi="Arial" w:cs="Arial"/>
        </w:rPr>
        <w:t>rió</w:t>
      </w:r>
      <w:r w:rsidR="006A3425">
        <w:rPr>
          <w:rFonts w:ascii="Arial" w:eastAsia="Arial" w:hAnsi="Arial" w:cs="Arial"/>
        </w:rPr>
        <w:t xml:space="preserve"> al </w:t>
      </w:r>
      <w:r w:rsidR="00AF7984">
        <w:rPr>
          <w:rFonts w:ascii="Arial" w:eastAsia="Arial" w:hAnsi="Arial" w:cs="Arial"/>
        </w:rPr>
        <w:t>abogado</w:t>
      </w:r>
      <w:r w:rsidR="006A3425">
        <w:rPr>
          <w:rFonts w:ascii="Arial" w:eastAsia="Arial" w:hAnsi="Arial" w:cs="Arial"/>
        </w:rPr>
        <w:t xml:space="preserve"> de los accionantes para que informará los datos de contacto de los terceros con interés, </w:t>
      </w:r>
      <w:r>
        <w:rPr>
          <w:rFonts w:ascii="Arial" w:eastAsia="Arial" w:hAnsi="Arial" w:cs="Arial"/>
        </w:rPr>
        <w:t>sin embargo, el citado</w:t>
      </w:r>
      <w:r w:rsidR="006A3425">
        <w:rPr>
          <w:rFonts w:ascii="Arial" w:eastAsia="Arial" w:hAnsi="Arial" w:cs="Arial"/>
        </w:rPr>
        <w:t xml:space="preserve"> no respondió el requerimiento. </w:t>
      </w:r>
    </w:p>
    <w:p w14:paraId="18B06750" w14:textId="42782FD8" w:rsidR="006A3425" w:rsidRDefault="006A3425">
      <w:pPr>
        <w:rPr>
          <w:rFonts w:ascii="Arial" w:eastAsia="Arial" w:hAnsi="Arial" w:cs="Arial"/>
        </w:rPr>
      </w:pPr>
    </w:p>
    <w:p w14:paraId="48FE8B1B" w14:textId="77777777" w:rsidR="00586462" w:rsidRDefault="00586462" w:rsidP="00BA415F">
      <w:pPr>
        <w:rPr>
          <w:rFonts w:ascii="Arial" w:eastAsia="Arial" w:hAnsi="Arial" w:cs="Arial"/>
        </w:rPr>
      </w:pPr>
      <w:r>
        <w:rPr>
          <w:rFonts w:ascii="Arial" w:eastAsia="Arial" w:hAnsi="Arial" w:cs="Arial"/>
        </w:rPr>
        <w:lastRenderedPageBreak/>
        <w:t>5.2.</w:t>
      </w:r>
      <w:r>
        <w:rPr>
          <w:rFonts w:ascii="Arial" w:eastAsia="Arial" w:hAnsi="Arial" w:cs="Arial"/>
        </w:rPr>
        <w:tab/>
      </w:r>
      <w:r w:rsidR="00817589">
        <w:rPr>
          <w:rFonts w:ascii="Arial" w:eastAsia="Arial" w:hAnsi="Arial" w:cs="Arial"/>
        </w:rPr>
        <w:t>Con</w:t>
      </w:r>
      <w:r w:rsidR="006A3425">
        <w:rPr>
          <w:rFonts w:ascii="Arial" w:eastAsia="Arial" w:hAnsi="Arial" w:cs="Arial"/>
        </w:rPr>
        <w:t xml:space="preserve"> el propósito de </w:t>
      </w:r>
      <w:r w:rsidR="006A3425" w:rsidRPr="006A3425">
        <w:rPr>
          <w:rFonts w:ascii="Arial" w:eastAsia="Arial" w:hAnsi="Arial" w:cs="Arial"/>
          <w:lang w:val="es-CO"/>
        </w:rPr>
        <w:t>garantizar la intervención de los terceros con interés en la presente acción de tutela, el despacho</w:t>
      </w:r>
      <w:r>
        <w:rPr>
          <w:rFonts w:ascii="Arial" w:eastAsia="Arial" w:hAnsi="Arial" w:cs="Arial"/>
          <w:lang w:val="es-CO"/>
        </w:rPr>
        <w:t xml:space="preserve"> ponente,</w:t>
      </w:r>
      <w:r w:rsidR="006A3425">
        <w:rPr>
          <w:rFonts w:ascii="Arial" w:eastAsia="Arial" w:hAnsi="Arial" w:cs="Arial"/>
          <w:lang w:val="es-CO"/>
        </w:rPr>
        <w:t xml:space="preserve"> en auto del 9 de julio de 2020</w:t>
      </w:r>
      <w:r w:rsidR="006A3425" w:rsidRPr="006A3425">
        <w:rPr>
          <w:rFonts w:ascii="Arial" w:eastAsia="Arial" w:hAnsi="Arial" w:cs="Arial"/>
          <w:lang w:val="es-CO"/>
        </w:rPr>
        <w:t xml:space="preserve"> </w:t>
      </w:r>
      <w:r w:rsidR="006A3425">
        <w:rPr>
          <w:rFonts w:ascii="Arial" w:eastAsia="Arial" w:hAnsi="Arial" w:cs="Arial"/>
          <w:lang w:val="es-CO"/>
        </w:rPr>
        <w:t>dispuso</w:t>
      </w:r>
      <w:r w:rsidR="006A3425" w:rsidRPr="006A3425">
        <w:rPr>
          <w:rFonts w:ascii="Arial" w:eastAsia="Arial" w:hAnsi="Arial" w:cs="Arial"/>
          <w:lang w:val="es-CO"/>
        </w:rPr>
        <w:t xml:space="preserve"> </w:t>
      </w:r>
      <w:r w:rsidR="006A3425">
        <w:rPr>
          <w:rFonts w:ascii="Arial" w:eastAsia="Arial" w:hAnsi="Arial" w:cs="Arial"/>
          <w:lang w:val="es-CO"/>
        </w:rPr>
        <w:t>f</w:t>
      </w:r>
      <w:r w:rsidR="00AF7984">
        <w:rPr>
          <w:rFonts w:ascii="Arial" w:eastAsia="Arial" w:hAnsi="Arial" w:cs="Arial"/>
          <w:lang w:val="es-CO"/>
        </w:rPr>
        <w:t>i</w:t>
      </w:r>
      <w:r w:rsidR="006A3425">
        <w:rPr>
          <w:rFonts w:ascii="Arial" w:eastAsia="Arial" w:hAnsi="Arial" w:cs="Arial"/>
          <w:lang w:val="es-CO"/>
        </w:rPr>
        <w:t>jar</w:t>
      </w:r>
      <w:r w:rsidR="006A3425" w:rsidRPr="006A3425">
        <w:rPr>
          <w:rFonts w:ascii="Arial" w:eastAsia="Arial" w:hAnsi="Arial" w:cs="Arial"/>
          <w:lang w:val="es-CO"/>
        </w:rPr>
        <w:t xml:space="preserve"> aviso en la página web de esta Corporación y de la Rama</w:t>
      </w:r>
      <w:r w:rsidR="006A3425">
        <w:rPr>
          <w:rFonts w:ascii="Arial" w:eastAsia="Arial" w:hAnsi="Arial" w:cs="Arial"/>
          <w:lang w:val="es-CO"/>
        </w:rPr>
        <w:t xml:space="preserve"> Judicial para </w:t>
      </w:r>
      <w:r w:rsidR="006A3425" w:rsidRPr="00323F2D">
        <w:rPr>
          <w:rFonts w:ascii="Arial" w:eastAsia="Arial" w:hAnsi="Arial" w:cs="Arial"/>
        </w:rPr>
        <w:t xml:space="preserve">enterar a las señoras Karen Slendy </w:t>
      </w:r>
      <w:r w:rsidR="008C156A">
        <w:rPr>
          <w:rFonts w:ascii="Arial" w:eastAsia="Arial" w:hAnsi="Arial" w:cs="Arial"/>
        </w:rPr>
        <w:t xml:space="preserve">Ruiz </w:t>
      </w:r>
      <w:r w:rsidR="006A3425" w:rsidRPr="00323F2D">
        <w:rPr>
          <w:rFonts w:ascii="Arial" w:eastAsia="Arial" w:hAnsi="Arial" w:cs="Arial"/>
        </w:rPr>
        <w:t xml:space="preserve">Labrador, Mónica Lizeth </w:t>
      </w:r>
      <w:r w:rsidR="008C156A">
        <w:rPr>
          <w:rFonts w:ascii="Arial" w:eastAsia="Arial" w:hAnsi="Arial" w:cs="Arial"/>
        </w:rPr>
        <w:t xml:space="preserve">Ruiz </w:t>
      </w:r>
      <w:r w:rsidR="006A3425" w:rsidRPr="00323F2D">
        <w:rPr>
          <w:rFonts w:ascii="Arial" w:eastAsia="Arial" w:hAnsi="Arial" w:cs="Arial"/>
        </w:rPr>
        <w:t xml:space="preserve">Labrador y María Fernanda </w:t>
      </w:r>
      <w:r w:rsidR="008C156A">
        <w:rPr>
          <w:rFonts w:ascii="Arial" w:eastAsia="Arial" w:hAnsi="Arial" w:cs="Arial"/>
        </w:rPr>
        <w:t xml:space="preserve">Ruiz </w:t>
      </w:r>
      <w:r w:rsidR="006A3425" w:rsidRPr="00323F2D">
        <w:rPr>
          <w:rFonts w:ascii="Arial" w:eastAsia="Arial" w:hAnsi="Arial" w:cs="Arial"/>
        </w:rPr>
        <w:t>Labrador de la existencia de este proceso</w:t>
      </w:r>
      <w:r w:rsidR="000E177F">
        <w:rPr>
          <w:rFonts w:ascii="Arial" w:eastAsia="Arial" w:hAnsi="Arial" w:cs="Arial"/>
        </w:rPr>
        <w:t xml:space="preserve">. </w:t>
      </w:r>
    </w:p>
    <w:p w14:paraId="63428BAA" w14:textId="77777777" w:rsidR="00586462" w:rsidRDefault="00586462" w:rsidP="00BA415F">
      <w:pPr>
        <w:rPr>
          <w:rFonts w:ascii="Arial" w:eastAsia="Arial" w:hAnsi="Arial" w:cs="Arial"/>
        </w:rPr>
      </w:pPr>
    </w:p>
    <w:p w14:paraId="3C3D2E23" w14:textId="0486959C" w:rsidR="000E177F" w:rsidRDefault="00586462" w:rsidP="00BA415F">
      <w:pPr>
        <w:rPr>
          <w:rFonts w:ascii="Arial" w:eastAsia="Arial" w:hAnsi="Arial" w:cs="Arial"/>
        </w:rPr>
      </w:pPr>
      <w:r>
        <w:rPr>
          <w:rFonts w:ascii="Arial" w:eastAsia="Arial" w:hAnsi="Arial" w:cs="Arial"/>
        </w:rPr>
        <w:t>5.3.</w:t>
      </w:r>
      <w:r>
        <w:rPr>
          <w:rFonts w:ascii="Arial" w:eastAsia="Arial" w:hAnsi="Arial" w:cs="Arial"/>
        </w:rPr>
        <w:tab/>
      </w:r>
      <w:r w:rsidR="000E177F">
        <w:rPr>
          <w:rFonts w:ascii="Arial" w:eastAsia="Arial" w:hAnsi="Arial" w:cs="Arial"/>
        </w:rPr>
        <w:t>El aviso se public</w:t>
      </w:r>
      <w:r w:rsidR="00AF7984">
        <w:rPr>
          <w:rFonts w:ascii="Arial" w:eastAsia="Arial" w:hAnsi="Arial" w:cs="Arial"/>
        </w:rPr>
        <w:t>ó</w:t>
      </w:r>
      <w:r w:rsidR="000E177F">
        <w:rPr>
          <w:rFonts w:ascii="Arial" w:eastAsia="Arial" w:hAnsi="Arial" w:cs="Arial"/>
        </w:rPr>
        <w:t xml:space="preserve"> en la página web de esta Corporación el 17 de julio de 2020</w:t>
      </w:r>
      <w:r w:rsidR="00896EF9">
        <w:rPr>
          <w:rFonts w:ascii="Arial" w:eastAsia="Arial" w:hAnsi="Arial" w:cs="Arial"/>
        </w:rPr>
        <w:t>,</w:t>
      </w:r>
      <w:r w:rsidR="00A653ED">
        <w:rPr>
          <w:rFonts w:ascii="Arial" w:eastAsia="Arial" w:hAnsi="Arial" w:cs="Arial"/>
        </w:rPr>
        <w:t xml:space="preserve"> </w:t>
      </w:r>
      <w:r w:rsidR="00896EF9">
        <w:rPr>
          <w:rFonts w:ascii="Arial" w:eastAsia="Arial" w:hAnsi="Arial" w:cs="Arial"/>
        </w:rPr>
        <w:t xml:space="preserve">sin que se haya pronunciado ninguna de las notificadas. </w:t>
      </w:r>
    </w:p>
    <w:p w14:paraId="7D9AB848" w14:textId="77777777" w:rsidR="004811A7" w:rsidRDefault="004811A7" w:rsidP="00BA415F">
      <w:pPr>
        <w:jc w:val="center"/>
        <w:rPr>
          <w:rFonts w:ascii="Arial" w:eastAsia="Arial" w:hAnsi="Arial" w:cs="Arial"/>
        </w:rPr>
      </w:pPr>
    </w:p>
    <w:p w14:paraId="339C976C" w14:textId="77777777" w:rsidR="004811A7" w:rsidRDefault="007632C5" w:rsidP="00BA415F">
      <w:pPr>
        <w:jc w:val="center"/>
        <w:rPr>
          <w:rFonts w:ascii="Arial" w:eastAsia="Arial" w:hAnsi="Arial" w:cs="Arial"/>
        </w:rPr>
      </w:pPr>
      <w:r>
        <w:rPr>
          <w:rFonts w:ascii="Arial" w:eastAsia="Arial" w:hAnsi="Arial" w:cs="Arial"/>
          <w:b/>
        </w:rPr>
        <w:t>CONSIDERACIONES DE LA SALA</w:t>
      </w:r>
    </w:p>
    <w:p w14:paraId="1969C80E" w14:textId="77777777" w:rsidR="004811A7" w:rsidRDefault="004811A7" w:rsidP="00BA415F">
      <w:pPr>
        <w:jc w:val="center"/>
        <w:rPr>
          <w:rFonts w:ascii="Arial" w:eastAsia="Arial" w:hAnsi="Arial" w:cs="Arial"/>
        </w:rPr>
      </w:pPr>
    </w:p>
    <w:p w14:paraId="67D169A4" w14:textId="77777777" w:rsidR="00586462" w:rsidRPr="009176D9" w:rsidRDefault="00586462" w:rsidP="00BA415F">
      <w:pPr>
        <w:ind w:hanging="2"/>
        <w:rPr>
          <w:rFonts w:ascii="Arial" w:eastAsia="Arial" w:hAnsi="Arial" w:cs="Arial"/>
        </w:rPr>
      </w:pPr>
      <w:r w:rsidRPr="009176D9">
        <w:rPr>
          <w:rFonts w:ascii="Arial" w:eastAsia="Arial" w:hAnsi="Arial" w:cs="Arial"/>
          <w:b/>
        </w:rPr>
        <w:t>1.</w:t>
      </w:r>
      <w:r w:rsidRPr="009176D9">
        <w:rPr>
          <w:rFonts w:ascii="Arial" w:eastAsia="Arial" w:hAnsi="Arial" w:cs="Arial"/>
          <w:b/>
        </w:rPr>
        <w:tab/>
      </w:r>
      <w:r w:rsidRPr="009176D9">
        <w:rPr>
          <w:rFonts w:ascii="Arial" w:eastAsia="Arial" w:hAnsi="Arial" w:cs="Arial"/>
        </w:rPr>
        <w:t>La acción de tutela, consagrada en el artículo 86 de la Constitución Política y reglamentada por el Decreto 2591 de 1991</w:t>
      </w:r>
      <w:r>
        <w:rPr>
          <w:rStyle w:val="Refdenotaalpie"/>
          <w:rFonts w:ascii="Arial" w:eastAsia="Arial" w:hAnsi="Arial" w:cs="Arial"/>
        </w:rPr>
        <w:footnoteReference w:id="3"/>
      </w:r>
      <w:r w:rsidRPr="009176D9">
        <w:rPr>
          <w:rFonts w:ascii="Arial" w:eastAsia="Arial" w:hAnsi="Arial" w:cs="Arial"/>
        </w:rPr>
        <w:t xml:space="preserve">, fue concebida como un mecanismo para la protección inmediata, oportuna y adecuada de derechos fundamentales, ante situaciones de amenaza o vulneración, </w:t>
      </w:r>
      <w:r w:rsidRPr="007B03E5">
        <w:rPr>
          <w:rFonts w:ascii="Arial" w:eastAsia="Arial" w:hAnsi="Arial" w:cs="Arial"/>
        </w:rPr>
        <w:t xml:space="preserve">por la acción u omisión de las autoridades, </w:t>
      </w:r>
      <w:r w:rsidRPr="009176D9">
        <w:rPr>
          <w:rFonts w:ascii="Arial" w:eastAsia="Arial" w:hAnsi="Arial" w:cs="Arial"/>
        </w:rPr>
        <w:t>o de los particulares en casos concretos y excepcionales. Sin embargo, es subsidiaria a otras herramientas judiciales, salvo cuando se interponga como mecanismo transitorio para evitar un perjuicio irremediable.</w:t>
      </w:r>
    </w:p>
    <w:p w14:paraId="65A8F3AF" w14:textId="77777777" w:rsidR="004811A7" w:rsidRDefault="004811A7" w:rsidP="00BA415F">
      <w:pPr>
        <w:rPr>
          <w:rFonts w:ascii="Arial" w:eastAsia="Arial" w:hAnsi="Arial" w:cs="Arial"/>
        </w:rPr>
      </w:pPr>
    </w:p>
    <w:p w14:paraId="1D995C24" w14:textId="77777777" w:rsidR="004811A7" w:rsidRDefault="007632C5" w:rsidP="00BA415F">
      <w:pPr>
        <w:pBdr>
          <w:top w:val="nil"/>
          <w:left w:val="nil"/>
          <w:bottom w:val="nil"/>
          <w:right w:val="nil"/>
          <w:between w:val="nil"/>
        </w:pBdr>
        <w:rPr>
          <w:rFonts w:ascii="Arial" w:eastAsia="Arial" w:hAnsi="Arial" w:cs="Arial"/>
        </w:rPr>
      </w:pPr>
      <w:r>
        <w:rPr>
          <w:rFonts w:ascii="Arial" w:eastAsia="Arial" w:hAnsi="Arial" w:cs="Arial"/>
          <w:b/>
        </w:rPr>
        <w:t>2.</w:t>
      </w:r>
      <w:r>
        <w:rPr>
          <w:rFonts w:ascii="Arial" w:eastAsia="Arial" w:hAnsi="Arial" w:cs="Arial"/>
          <w:b/>
        </w:rPr>
        <w:tab/>
        <w:t>La acción de tutela contra providencias judiciales de altas corporaciones</w:t>
      </w:r>
    </w:p>
    <w:p w14:paraId="1090B589" w14:textId="77777777" w:rsidR="00586462" w:rsidRPr="00857808" w:rsidRDefault="00586462" w:rsidP="00BA415F">
      <w:pPr>
        <w:rPr>
          <w:rFonts w:ascii="Arial" w:eastAsia="Arial" w:hAnsi="Arial"/>
          <w:b/>
          <w:color w:val="000000" w:themeColor="text1"/>
        </w:rPr>
      </w:pPr>
    </w:p>
    <w:p w14:paraId="1A90F042" w14:textId="7EFA7778" w:rsidR="00586462" w:rsidRDefault="00586462" w:rsidP="00BA415F">
      <w:pPr>
        <w:rPr>
          <w:rFonts w:ascii="Arial" w:eastAsia="Arial" w:hAnsi="Arial"/>
          <w:color w:val="000000" w:themeColor="text1"/>
        </w:rPr>
      </w:pPr>
      <w:r w:rsidRPr="00857808">
        <w:rPr>
          <w:rFonts w:ascii="Arial" w:eastAsia="Arial" w:hAnsi="Arial"/>
          <w:color w:val="000000" w:themeColor="text1"/>
        </w:rPr>
        <w:t xml:space="preserve">La acción de tutela procede de manera excepcional contra providencias judiciales. Así lo ha reconocido la Corte Constitucional y el Consejo de Estado. Por esto, la jurisprudencia ha establecido una serie de </w:t>
      </w:r>
      <w:r w:rsidRPr="00857808">
        <w:rPr>
          <w:rFonts w:ascii="Arial" w:eastAsia="Arial" w:hAnsi="Arial"/>
          <w:i/>
          <w:iCs/>
          <w:color w:val="000000" w:themeColor="text1"/>
        </w:rPr>
        <w:t>requisitos generales</w:t>
      </w:r>
      <w:r w:rsidRPr="00857808">
        <w:rPr>
          <w:rFonts w:ascii="Arial" w:eastAsia="Arial" w:hAnsi="Arial"/>
          <w:color w:val="000000" w:themeColor="text1"/>
          <w:vertAlign w:val="superscript"/>
        </w:rPr>
        <w:footnoteReference w:id="4"/>
      </w:r>
      <w:r w:rsidRPr="00857808">
        <w:rPr>
          <w:rFonts w:ascii="Arial" w:eastAsia="Arial" w:hAnsi="Arial"/>
          <w:color w:val="000000" w:themeColor="text1"/>
        </w:rPr>
        <w:t xml:space="preserve"> y </w:t>
      </w:r>
      <w:r w:rsidRPr="00857808">
        <w:rPr>
          <w:rFonts w:ascii="Arial" w:eastAsia="Arial" w:hAnsi="Arial"/>
          <w:i/>
          <w:iCs/>
          <w:color w:val="000000" w:themeColor="text1"/>
        </w:rPr>
        <w:t>especiales</w:t>
      </w:r>
      <w:r w:rsidRPr="00857808">
        <w:rPr>
          <w:rFonts w:ascii="Arial" w:eastAsia="Arial" w:hAnsi="Arial"/>
          <w:color w:val="000000" w:themeColor="text1"/>
          <w:vertAlign w:val="superscript"/>
        </w:rPr>
        <w:footnoteReference w:id="5"/>
      </w:r>
      <w:r w:rsidRPr="00857808">
        <w:rPr>
          <w:rFonts w:ascii="Arial" w:eastAsia="Arial" w:hAnsi="Arial"/>
          <w:color w:val="000000" w:themeColor="text1"/>
        </w:rPr>
        <w:t xml:space="preserve"> que deben cumplirse de forma estricta. Si no se cumplen todos los requisitos generales y por lo menos uno de los defectos o requisitos especiales la acción no será procedente. </w:t>
      </w:r>
    </w:p>
    <w:p w14:paraId="69C63D50" w14:textId="752B16AD" w:rsidR="00586462" w:rsidRDefault="00586462" w:rsidP="00BA415F">
      <w:pPr>
        <w:rPr>
          <w:rFonts w:ascii="Arial" w:eastAsia="Arial" w:hAnsi="Arial"/>
          <w:color w:val="000000" w:themeColor="text1"/>
        </w:rPr>
      </w:pPr>
    </w:p>
    <w:p w14:paraId="6AC063E1" w14:textId="77777777" w:rsidR="00586462" w:rsidRDefault="00586462" w:rsidP="00BA415F">
      <w:pPr>
        <w:ind w:hanging="2"/>
        <w:rPr>
          <w:rFonts w:ascii="Arial" w:eastAsia="Arial" w:hAnsi="Arial" w:cs="Arial"/>
          <w:b/>
        </w:rPr>
      </w:pPr>
      <w:r w:rsidRPr="00B767A7">
        <w:rPr>
          <w:rFonts w:ascii="Arial" w:eastAsia="Arial" w:hAnsi="Arial" w:cs="Arial"/>
        </w:rPr>
        <w:t>Es por lo anterior, que el análisis sobre el cumplimiento de los requisitos debe restringirse únicamente a los argumentos planteados por los intervinientes en el proceso. En consecuencia, la procedencia de la acción contra providencias judiciales exige un mayor rigor en la fundamentación del vicio que se atribuye a la sentencia judicial objeto de tutela.</w:t>
      </w:r>
      <w:r>
        <w:rPr>
          <w:rFonts w:ascii="Arial" w:eastAsia="Arial" w:hAnsi="Arial" w:cs="Arial"/>
          <w:b/>
        </w:rPr>
        <w:t xml:space="preserve"> </w:t>
      </w:r>
    </w:p>
    <w:p w14:paraId="1EB5050A" w14:textId="77777777" w:rsidR="00586462" w:rsidRDefault="00586462" w:rsidP="00BA415F">
      <w:pPr>
        <w:ind w:hanging="2"/>
        <w:rPr>
          <w:rFonts w:ascii="Arial" w:eastAsia="Arial" w:hAnsi="Arial" w:cs="Arial"/>
          <w:b/>
        </w:rPr>
      </w:pPr>
    </w:p>
    <w:p w14:paraId="6951BF64" w14:textId="71C49C81" w:rsidR="00586462" w:rsidRPr="00586462" w:rsidRDefault="00586462" w:rsidP="00BA415F">
      <w:pPr>
        <w:ind w:hanging="2"/>
        <w:rPr>
          <w:rFonts w:ascii="Arial" w:eastAsia="Arial" w:hAnsi="Arial" w:cs="Arial"/>
          <w:b/>
        </w:rPr>
      </w:pPr>
      <w:r>
        <w:rPr>
          <w:rFonts w:ascii="Arial" w:eastAsia="Arial" w:hAnsi="Arial" w:cs="Arial"/>
        </w:rPr>
        <w:t>De manera pacífica y reiterada, la jurisprudencia constitucional</w:t>
      </w:r>
      <w:r>
        <w:rPr>
          <w:rFonts w:ascii="Arial" w:eastAsia="Arial" w:hAnsi="Arial" w:cs="Arial"/>
          <w:vertAlign w:val="superscript"/>
        </w:rPr>
        <w:footnoteReference w:id="6"/>
      </w:r>
      <w:r>
        <w:rPr>
          <w:rFonts w:ascii="Arial" w:eastAsia="Arial" w:hAnsi="Arial" w:cs="Arial"/>
        </w:rPr>
        <w:t xml:space="preserve"> ha indicado que cuando se interpone la acción de tutela contra providencias judiciales, el examen de los requisitos generales de procedencia debe realizarse con especial rigor so pena de </w:t>
      </w:r>
      <w:r>
        <w:rPr>
          <w:rFonts w:ascii="Arial" w:eastAsia="Arial" w:hAnsi="Arial" w:cs="Arial"/>
        </w:rPr>
        <w:lastRenderedPageBreak/>
        <w:t xml:space="preserve">desconocer la autonomía judicial y los principios de legalidad, cosa juzgada y juez natural como elementos esenciales del derecho al debido proceso. </w:t>
      </w:r>
    </w:p>
    <w:p w14:paraId="455DE340" w14:textId="067F2EEB" w:rsidR="00586462" w:rsidRPr="00857808" w:rsidRDefault="00586462" w:rsidP="00BA415F">
      <w:pPr>
        <w:rPr>
          <w:rFonts w:ascii="Arial" w:eastAsia="Arial" w:hAnsi="Arial"/>
          <w:color w:val="000000" w:themeColor="text1"/>
        </w:rPr>
      </w:pPr>
    </w:p>
    <w:p w14:paraId="3DE3EED5" w14:textId="77777777" w:rsidR="00586462" w:rsidRPr="00857808" w:rsidRDefault="00586462" w:rsidP="00BA415F">
      <w:pPr>
        <w:rPr>
          <w:rFonts w:ascii="Arial" w:eastAsia="Arial" w:hAnsi="Arial"/>
          <w:color w:val="000000" w:themeColor="text1"/>
        </w:rPr>
      </w:pPr>
      <w:r w:rsidRPr="00857808">
        <w:rPr>
          <w:rFonts w:ascii="Arial" w:eastAsia="Arial" w:hAnsi="Arial"/>
          <w:color w:val="000000" w:themeColor="text1"/>
        </w:rPr>
        <w:t>Cuando por vía de tutela se cuestiona una providencia judicial proferida por la Corte Suprema de Justicia o por el Consejo de Estado, la procedencia de la acción de amparo es más restrictiva debido a que estas Corporaciones son las encargadas de unificar la jurisprudencia en sus respectivas jurisdicciones, por lo que los principios de autonomía e independencia judicial adquieren mayor relevancia. Es así que, la Corte Constitucional ha indicado que como presupuesto adicional para admitir la procedencia de la acción de tutela, la providencia judicial atacada debe contener un error ostensible, manifiesto y flagrante que riña de manera directa con la Constitución Política y que justifique la intervención del juez constitucional.</w:t>
      </w:r>
    </w:p>
    <w:p w14:paraId="6C4E4063" w14:textId="77777777" w:rsidR="00586462" w:rsidRPr="00857808" w:rsidRDefault="00586462" w:rsidP="00BA415F">
      <w:pPr>
        <w:rPr>
          <w:rFonts w:ascii="Arial" w:eastAsia="Arial" w:hAnsi="Arial"/>
          <w:color w:val="000000" w:themeColor="text1"/>
        </w:rPr>
      </w:pPr>
    </w:p>
    <w:p w14:paraId="1108FC18" w14:textId="77777777" w:rsidR="00586462" w:rsidRDefault="00586462" w:rsidP="00BA415F">
      <w:pPr>
        <w:rPr>
          <w:rFonts w:ascii="Arial" w:eastAsia="Arial" w:hAnsi="Arial"/>
          <w:color w:val="000000" w:themeColor="text1"/>
        </w:rPr>
      </w:pPr>
      <w:r w:rsidRPr="00857808">
        <w:rPr>
          <w:rFonts w:ascii="Arial" w:eastAsia="Arial" w:hAnsi="Arial"/>
          <w:color w:val="000000" w:themeColor="text1"/>
        </w:rPr>
        <w:t xml:space="preserve">Según lo anterior, en los eventos en que por vía de tutela se cuestione una providencia proferida por una Alta Corporación, corresponde al juez de tutela verificar el cumplimiento de: </w:t>
      </w:r>
      <w:r w:rsidRPr="00857808">
        <w:rPr>
          <w:rFonts w:ascii="Arial" w:eastAsia="Arial" w:hAnsi="Arial"/>
          <w:b/>
          <w:bCs/>
          <w:color w:val="000000" w:themeColor="text1"/>
        </w:rPr>
        <w:t>(i)</w:t>
      </w:r>
      <w:r w:rsidRPr="00857808">
        <w:rPr>
          <w:rFonts w:ascii="Arial" w:eastAsia="Arial" w:hAnsi="Arial"/>
          <w:color w:val="000000" w:themeColor="text1"/>
        </w:rPr>
        <w:t xml:space="preserve"> los requisitos generales de procedencia de la acción de tutela contra providencias judiciales; </w:t>
      </w:r>
      <w:r w:rsidRPr="00857808">
        <w:rPr>
          <w:rFonts w:ascii="Arial" w:eastAsia="Arial" w:hAnsi="Arial"/>
          <w:b/>
          <w:bCs/>
          <w:color w:val="000000" w:themeColor="text1"/>
        </w:rPr>
        <w:t>(ii)</w:t>
      </w:r>
      <w:r w:rsidRPr="00857808">
        <w:rPr>
          <w:rFonts w:ascii="Arial" w:eastAsia="Arial" w:hAnsi="Arial"/>
          <w:color w:val="000000" w:themeColor="text1"/>
        </w:rPr>
        <w:t xml:space="preserve"> la existencia de una o varias causales especiales de procedibilidad; y </w:t>
      </w:r>
      <w:r w:rsidRPr="00857808">
        <w:rPr>
          <w:rFonts w:ascii="Arial" w:eastAsia="Arial" w:hAnsi="Arial"/>
          <w:b/>
          <w:bCs/>
          <w:color w:val="000000" w:themeColor="text1"/>
        </w:rPr>
        <w:t>(iii)</w:t>
      </w:r>
      <w:r w:rsidRPr="00857808">
        <w:rPr>
          <w:rFonts w:ascii="Arial" w:eastAsia="Arial" w:hAnsi="Arial"/>
          <w:color w:val="000000" w:themeColor="text1"/>
        </w:rPr>
        <w:t xml:space="preserve"> </w:t>
      </w:r>
      <w:r w:rsidRPr="00586462">
        <w:rPr>
          <w:rFonts w:ascii="Arial" w:eastAsia="Arial" w:hAnsi="Arial"/>
          <w:color w:val="000000" w:themeColor="text1"/>
        </w:rPr>
        <w:t>la configuración de un defecto en la providencia judicial acusada que haga que esta riña de manera abierta con la Constitución Política y sea incompatible con la jurisprudencia constitucional</w:t>
      </w:r>
      <w:r w:rsidRPr="00857808">
        <w:rPr>
          <w:rFonts w:ascii="Arial" w:eastAsia="Arial" w:hAnsi="Arial"/>
          <w:color w:val="000000" w:themeColor="text1"/>
        </w:rPr>
        <w:t>.</w:t>
      </w:r>
    </w:p>
    <w:p w14:paraId="2F3C05E2" w14:textId="77681DFC" w:rsidR="004811A7" w:rsidRDefault="00BA415F" w:rsidP="00BA415F">
      <w:pPr>
        <w:pBdr>
          <w:top w:val="nil"/>
          <w:left w:val="nil"/>
          <w:bottom w:val="nil"/>
          <w:right w:val="nil"/>
          <w:between w:val="nil"/>
        </w:pBdr>
        <w:ind w:hanging="720"/>
        <w:rPr>
          <w:rFonts w:ascii="Arial" w:eastAsia="Arial" w:hAnsi="Arial" w:cs="Arial"/>
          <w:b/>
        </w:rPr>
      </w:pPr>
      <w:r>
        <w:rPr>
          <w:rFonts w:ascii="Arial" w:eastAsia="Arial" w:hAnsi="Arial" w:cs="Arial"/>
          <w:b/>
        </w:rPr>
        <w:tab/>
      </w:r>
    </w:p>
    <w:p w14:paraId="2CBA8ABE" w14:textId="325F4756" w:rsidR="004811A7" w:rsidRDefault="007632C5" w:rsidP="00BA415F">
      <w:pPr>
        <w:pBdr>
          <w:top w:val="nil"/>
          <w:left w:val="nil"/>
          <w:bottom w:val="nil"/>
          <w:right w:val="nil"/>
          <w:between w:val="nil"/>
        </w:pBdr>
        <w:rPr>
          <w:rFonts w:ascii="Arial" w:eastAsia="Arial" w:hAnsi="Arial" w:cs="Arial"/>
        </w:rPr>
      </w:pPr>
      <w:r>
        <w:rPr>
          <w:rFonts w:ascii="Arial" w:eastAsia="Arial" w:hAnsi="Arial" w:cs="Arial"/>
          <w:b/>
          <w:color w:val="000000"/>
        </w:rPr>
        <w:t>3.</w:t>
      </w:r>
      <w:r>
        <w:rPr>
          <w:rFonts w:ascii="Arial" w:eastAsia="Arial" w:hAnsi="Arial" w:cs="Arial"/>
          <w:b/>
          <w:color w:val="000000"/>
        </w:rPr>
        <w:tab/>
      </w:r>
      <w:r w:rsidR="00AF7984">
        <w:rPr>
          <w:rFonts w:ascii="Arial" w:eastAsia="Arial" w:hAnsi="Arial" w:cs="Arial"/>
          <w:b/>
          <w:color w:val="000000"/>
        </w:rPr>
        <w:t>P</w:t>
      </w:r>
      <w:r>
        <w:rPr>
          <w:rFonts w:ascii="Arial" w:eastAsia="Arial" w:hAnsi="Arial" w:cs="Arial"/>
          <w:b/>
          <w:color w:val="000000"/>
        </w:rPr>
        <w:t xml:space="preserve">lanteamiento del problema jurídico </w:t>
      </w:r>
    </w:p>
    <w:p w14:paraId="0B69541F" w14:textId="77777777" w:rsidR="004811A7" w:rsidRDefault="004811A7" w:rsidP="00BA415F">
      <w:pPr>
        <w:rPr>
          <w:rFonts w:ascii="Arial" w:eastAsia="Arial" w:hAnsi="Arial" w:cs="Arial"/>
        </w:rPr>
      </w:pPr>
    </w:p>
    <w:p w14:paraId="1A0704CB" w14:textId="77777777" w:rsidR="00D8231E" w:rsidRDefault="00586462" w:rsidP="00BA415F">
      <w:pPr>
        <w:rPr>
          <w:rFonts w:ascii="Arial" w:eastAsia="Times New Roman" w:hAnsi="Arial" w:cs="Arial"/>
          <w:color w:val="000000"/>
          <w:lang w:val="es-MX"/>
        </w:rPr>
      </w:pPr>
      <w:r>
        <w:rPr>
          <w:rFonts w:ascii="Arial" w:eastAsia="Times New Roman" w:hAnsi="Arial" w:cs="Arial"/>
          <w:color w:val="000000"/>
          <w:lang w:val="es-MX"/>
        </w:rPr>
        <w:t xml:space="preserve">De acuerdo con los antecedentes del caso, </w:t>
      </w:r>
      <w:r w:rsidR="00D8231E">
        <w:rPr>
          <w:rFonts w:ascii="Arial" w:eastAsia="Times New Roman" w:hAnsi="Arial" w:cs="Arial"/>
          <w:color w:val="000000"/>
          <w:lang w:val="es-MX"/>
        </w:rPr>
        <w:t>p</w:t>
      </w:r>
      <w:r w:rsidR="00896EF9">
        <w:rPr>
          <w:rFonts w:ascii="Arial" w:eastAsia="Times New Roman" w:hAnsi="Arial" w:cs="Arial"/>
          <w:color w:val="000000"/>
          <w:lang w:val="es-MX"/>
        </w:rPr>
        <w:t xml:space="preserve">or tratarse de una acción de tutela contra providencia judicial, </w:t>
      </w:r>
      <w:r w:rsidR="00D8231E">
        <w:rPr>
          <w:rFonts w:ascii="Arial" w:eastAsia="Times New Roman" w:hAnsi="Arial" w:cs="Arial"/>
          <w:color w:val="000000"/>
          <w:lang w:val="es-MX"/>
        </w:rPr>
        <w:t xml:space="preserve">de manera preliminar, </w:t>
      </w:r>
      <w:r w:rsidR="00896EF9">
        <w:rPr>
          <w:rFonts w:ascii="Arial" w:eastAsia="Times New Roman" w:hAnsi="Arial" w:cs="Arial"/>
          <w:color w:val="000000"/>
          <w:lang w:val="es-MX"/>
        </w:rPr>
        <w:t>c</w:t>
      </w:r>
      <w:r w:rsidR="00896EF9" w:rsidRPr="00896EF9">
        <w:rPr>
          <w:rFonts w:ascii="Arial" w:eastAsia="Times New Roman" w:hAnsi="Arial" w:cs="Arial"/>
          <w:color w:val="000000"/>
          <w:lang w:val="es-MX"/>
        </w:rPr>
        <w:t>orresponde a la Sala</w:t>
      </w:r>
      <w:r w:rsidR="00D8231E">
        <w:rPr>
          <w:rFonts w:ascii="Arial" w:eastAsia="Times New Roman" w:hAnsi="Arial" w:cs="Arial"/>
          <w:color w:val="000000"/>
          <w:lang w:val="es-MX"/>
        </w:rPr>
        <w:t xml:space="preserve"> </w:t>
      </w:r>
      <w:r w:rsidR="00896EF9" w:rsidRPr="00896EF9">
        <w:rPr>
          <w:rFonts w:ascii="Arial" w:eastAsia="Times New Roman" w:hAnsi="Arial" w:cs="Arial"/>
          <w:color w:val="000000"/>
          <w:lang w:val="es-MX"/>
        </w:rPr>
        <w:t>establecer si la acción de tutela cumple con los requisitos generales de procedibilidad</w:t>
      </w:r>
      <w:r w:rsidR="00D8231E">
        <w:rPr>
          <w:rFonts w:ascii="Arial" w:eastAsia="Times New Roman" w:hAnsi="Arial" w:cs="Arial"/>
          <w:color w:val="000000"/>
          <w:lang w:val="es-MX"/>
        </w:rPr>
        <w:t xml:space="preserve">, específicament el de la inmediatez. </w:t>
      </w:r>
    </w:p>
    <w:p w14:paraId="7E7B8D93" w14:textId="77777777" w:rsidR="00D8231E" w:rsidRDefault="00D8231E" w:rsidP="00BA415F">
      <w:pPr>
        <w:rPr>
          <w:rFonts w:ascii="Arial" w:eastAsia="Times New Roman" w:hAnsi="Arial" w:cs="Arial"/>
          <w:color w:val="000000"/>
          <w:lang w:val="es-MX"/>
        </w:rPr>
      </w:pPr>
    </w:p>
    <w:p w14:paraId="7F59569C" w14:textId="4FECA94C" w:rsidR="00896EF9" w:rsidRPr="00896EF9" w:rsidRDefault="00D8231E" w:rsidP="00BA415F">
      <w:pPr>
        <w:rPr>
          <w:rFonts w:ascii="Times New Roman" w:eastAsia="Times New Roman" w:hAnsi="Times New Roman" w:cs="Times New Roman"/>
          <w:lang w:val="es-MX"/>
        </w:rPr>
      </w:pPr>
      <w:r>
        <w:rPr>
          <w:rFonts w:ascii="Arial" w:eastAsia="Times New Roman" w:hAnsi="Arial" w:cs="Arial"/>
          <w:color w:val="000000"/>
          <w:lang w:val="es-MX"/>
        </w:rPr>
        <w:t xml:space="preserve">De superar dicho estudio, se </w:t>
      </w:r>
      <w:r w:rsidR="00896EF9" w:rsidRPr="00896EF9">
        <w:rPr>
          <w:rFonts w:ascii="Arial" w:eastAsia="Times New Roman" w:hAnsi="Arial" w:cs="Arial"/>
          <w:color w:val="000000"/>
          <w:lang w:val="es-MX"/>
        </w:rPr>
        <w:t>determinar</w:t>
      </w:r>
      <w:r>
        <w:rPr>
          <w:rFonts w:ascii="Arial" w:eastAsia="Times New Roman" w:hAnsi="Arial" w:cs="Arial"/>
          <w:color w:val="000000"/>
          <w:lang w:val="es-MX"/>
        </w:rPr>
        <w:t>á</w:t>
      </w:r>
      <w:r w:rsidR="00896EF9" w:rsidRPr="00896EF9">
        <w:rPr>
          <w:rFonts w:ascii="Arial" w:eastAsia="Times New Roman" w:hAnsi="Arial" w:cs="Arial"/>
          <w:color w:val="000000"/>
          <w:lang w:val="es-MX"/>
        </w:rPr>
        <w:t xml:space="preserve"> si la sentencia</w:t>
      </w:r>
      <w:r w:rsidR="00896EF9">
        <w:rPr>
          <w:rFonts w:ascii="Arial" w:eastAsia="Times New Roman" w:hAnsi="Arial" w:cs="Arial"/>
          <w:color w:val="000000"/>
          <w:lang w:val="es-MX"/>
        </w:rPr>
        <w:t xml:space="preserve"> del 28 de agosto de 2019, proferida por la Subsección “A”</w:t>
      </w:r>
      <w:r w:rsidR="00AF7984">
        <w:rPr>
          <w:rFonts w:ascii="Arial" w:eastAsia="Times New Roman" w:hAnsi="Arial" w:cs="Arial"/>
          <w:color w:val="000000"/>
          <w:lang w:val="es-MX"/>
        </w:rPr>
        <w:t xml:space="preserve"> de la</w:t>
      </w:r>
      <w:r w:rsidR="00896EF9">
        <w:rPr>
          <w:rFonts w:ascii="Arial" w:eastAsia="Times New Roman" w:hAnsi="Arial" w:cs="Arial"/>
          <w:color w:val="000000"/>
          <w:lang w:val="es-MX"/>
        </w:rPr>
        <w:t xml:space="preserve"> Sección Tercera</w:t>
      </w:r>
      <w:r w:rsidR="001B01A1">
        <w:rPr>
          <w:rFonts w:ascii="Arial" w:eastAsia="Times New Roman" w:hAnsi="Arial" w:cs="Arial"/>
          <w:color w:val="000000"/>
          <w:lang w:val="es-MX"/>
        </w:rPr>
        <w:t xml:space="preserve"> </w:t>
      </w:r>
      <w:r w:rsidR="00896EF9">
        <w:rPr>
          <w:rFonts w:ascii="Arial" w:eastAsia="Times New Roman" w:hAnsi="Arial" w:cs="Arial"/>
          <w:color w:val="000000"/>
          <w:lang w:val="es-MX"/>
        </w:rPr>
        <w:t>del Consejo de Estado</w:t>
      </w:r>
      <w:r w:rsidR="00AF7984">
        <w:rPr>
          <w:rFonts w:ascii="Arial" w:eastAsia="Times New Roman" w:hAnsi="Arial" w:cs="Arial"/>
          <w:color w:val="000000"/>
          <w:lang w:val="es-MX"/>
        </w:rPr>
        <w:t>,</w:t>
      </w:r>
      <w:r w:rsidR="00896EF9">
        <w:rPr>
          <w:rFonts w:ascii="Arial" w:eastAsia="Times New Roman" w:hAnsi="Arial" w:cs="Arial"/>
          <w:color w:val="000000"/>
          <w:lang w:val="es-MX"/>
        </w:rPr>
        <w:t xml:space="preserve"> dentro del </w:t>
      </w:r>
      <w:r>
        <w:rPr>
          <w:rFonts w:ascii="Arial" w:eastAsia="Times New Roman" w:hAnsi="Arial" w:cs="Arial"/>
          <w:color w:val="000000"/>
          <w:lang w:val="es-MX"/>
        </w:rPr>
        <w:t>expediente</w:t>
      </w:r>
      <w:r w:rsidR="00896EF9">
        <w:rPr>
          <w:rFonts w:ascii="Arial" w:eastAsia="Times New Roman" w:hAnsi="Arial" w:cs="Arial"/>
          <w:color w:val="000000"/>
          <w:lang w:val="es-MX"/>
        </w:rPr>
        <w:t xml:space="preserve"> 76001</w:t>
      </w:r>
      <w:r>
        <w:rPr>
          <w:rFonts w:ascii="Arial" w:eastAsia="Times New Roman" w:hAnsi="Arial" w:cs="Arial"/>
          <w:color w:val="000000"/>
          <w:lang w:val="es-MX"/>
        </w:rPr>
        <w:t>-</w:t>
      </w:r>
      <w:r w:rsidR="00896EF9">
        <w:rPr>
          <w:rFonts w:ascii="Arial" w:eastAsia="Times New Roman" w:hAnsi="Arial" w:cs="Arial"/>
          <w:color w:val="000000"/>
          <w:lang w:val="es-MX"/>
        </w:rPr>
        <w:t>23</w:t>
      </w:r>
      <w:r>
        <w:rPr>
          <w:rFonts w:ascii="Arial" w:eastAsia="Times New Roman" w:hAnsi="Arial" w:cs="Arial"/>
          <w:color w:val="000000"/>
          <w:lang w:val="es-MX"/>
        </w:rPr>
        <w:t>-</w:t>
      </w:r>
      <w:r w:rsidR="00896EF9">
        <w:rPr>
          <w:rFonts w:ascii="Arial" w:eastAsia="Times New Roman" w:hAnsi="Arial" w:cs="Arial"/>
          <w:color w:val="000000"/>
          <w:lang w:val="es-MX"/>
        </w:rPr>
        <w:t>31</w:t>
      </w:r>
      <w:r>
        <w:rPr>
          <w:rFonts w:ascii="Arial" w:eastAsia="Times New Roman" w:hAnsi="Arial" w:cs="Arial"/>
          <w:color w:val="000000"/>
          <w:lang w:val="es-MX"/>
        </w:rPr>
        <w:t>-</w:t>
      </w:r>
      <w:r w:rsidR="00896EF9">
        <w:rPr>
          <w:rFonts w:ascii="Arial" w:eastAsia="Times New Roman" w:hAnsi="Arial" w:cs="Arial"/>
          <w:color w:val="000000"/>
          <w:lang w:val="es-MX"/>
        </w:rPr>
        <w:t>00</w:t>
      </w:r>
      <w:r>
        <w:rPr>
          <w:rFonts w:ascii="Arial" w:eastAsia="Times New Roman" w:hAnsi="Arial" w:cs="Arial"/>
          <w:color w:val="000000"/>
          <w:lang w:val="es-MX"/>
        </w:rPr>
        <w:t>0-2</w:t>
      </w:r>
      <w:r w:rsidR="00896EF9">
        <w:rPr>
          <w:rFonts w:ascii="Arial" w:eastAsia="Times New Roman" w:hAnsi="Arial" w:cs="Arial"/>
          <w:color w:val="000000"/>
          <w:lang w:val="es-MX"/>
        </w:rPr>
        <w:t>006</w:t>
      </w:r>
      <w:r>
        <w:rPr>
          <w:rFonts w:ascii="Arial" w:eastAsia="Times New Roman" w:hAnsi="Arial" w:cs="Arial"/>
          <w:color w:val="000000"/>
          <w:lang w:val="es-MX"/>
        </w:rPr>
        <w:t>-</w:t>
      </w:r>
      <w:r w:rsidR="00896EF9">
        <w:rPr>
          <w:rFonts w:ascii="Arial" w:eastAsia="Times New Roman" w:hAnsi="Arial" w:cs="Arial"/>
          <w:color w:val="000000"/>
          <w:lang w:val="es-MX"/>
        </w:rPr>
        <w:t>03055</w:t>
      </w:r>
      <w:r>
        <w:rPr>
          <w:rFonts w:ascii="Arial" w:eastAsia="Times New Roman" w:hAnsi="Arial" w:cs="Arial"/>
          <w:color w:val="000000"/>
          <w:lang w:val="es-MX"/>
        </w:rPr>
        <w:t>-</w:t>
      </w:r>
      <w:r w:rsidR="00896EF9">
        <w:rPr>
          <w:rFonts w:ascii="Arial" w:eastAsia="Times New Roman" w:hAnsi="Arial" w:cs="Arial"/>
          <w:color w:val="000000"/>
          <w:lang w:val="es-MX"/>
        </w:rPr>
        <w:t>01</w:t>
      </w:r>
      <w:r>
        <w:rPr>
          <w:rFonts w:ascii="Arial" w:eastAsia="Times New Roman" w:hAnsi="Arial" w:cs="Arial"/>
          <w:color w:val="000000"/>
          <w:lang w:val="es-MX"/>
        </w:rPr>
        <w:t xml:space="preserve"> </w:t>
      </w:r>
      <w:r w:rsidR="001B01A1">
        <w:rPr>
          <w:rFonts w:ascii="Arial" w:eastAsia="Times New Roman" w:hAnsi="Arial" w:cs="Arial"/>
          <w:color w:val="000000"/>
          <w:lang w:val="es-MX"/>
        </w:rPr>
        <w:t>(51013)</w:t>
      </w:r>
      <w:r w:rsidR="00896EF9" w:rsidRPr="00896EF9">
        <w:rPr>
          <w:rFonts w:ascii="Arial" w:eastAsia="Times New Roman" w:hAnsi="Arial" w:cs="Arial"/>
          <w:color w:val="000000"/>
          <w:lang w:val="es-MX"/>
        </w:rPr>
        <w:t xml:space="preserve"> adolece de </w:t>
      </w:r>
      <w:r>
        <w:rPr>
          <w:rFonts w:ascii="Arial" w:eastAsia="Times New Roman" w:hAnsi="Arial" w:cs="Arial"/>
          <w:color w:val="000000"/>
          <w:lang w:val="es-MX"/>
        </w:rPr>
        <w:t xml:space="preserve">los defectos fáctico, </w:t>
      </w:r>
      <w:r w:rsidR="001B01A1">
        <w:rPr>
          <w:rFonts w:ascii="Arial" w:eastAsia="Times New Roman" w:hAnsi="Arial" w:cs="Arial"/>
          <w:color w:val="000000"/>
          <w:lang w:val="es-MX"/>
        </w:rPr>
        <w:t xml:space="preserve">sustantivo y </w:t>
      </w:r>
      <w:r>
        <w:rPr>
          <w:rFonts w:ascii="Arial" w:eastAsia="Times New Roman" w:hAnsi="Arial" w:cs="Arial"/>
          <w:color w:val="000000"/>
          <w:lang w:val="es-MX"/>
        </w:rPr>
        <w:t xml:space="preserve">por </w:t>
      </w:r>
      <w:r w:rsidR="001B01A1">
        <w:rPr>
          <w:rFonts w:ascii="Arial" w:eastAsia="Times New Roman" w:hAnsi="Arial" w:cs="Arial"/>
          <w:color w:val="000000"/>
          <w:lang w:val="es-MX"/>
        </w:rPr>
        <w:t>desconocimiento del precedente</w:t>
      </w:r>
      <w:r>
        <w:rPr>
          <w:rFonts w:ascii="Arial" w:eastAsia="Times New Roman" w:hAnsi="Arial" w:cs="Arial"/>
          <w:color w:val="000000"/>
          <w:lang w:val="es-MX"/>
        </w:rPr>
        <w:t>.</w:t>
      </w:r>
    </w:p>
    <w:p w14:paraId="215C94B0" w14:textId="77777777" w:rsidR="00896EF9" w:rsidRPr="00896EF9" w:rsidRDefault="00896EF9" w:rsidP="00BA415F">
      <w:pPr>
        <w:jc w:val="left"/>
        <w:rPr>
          <w:rFonts w:ascii="Times New Roman" w:eastAsia="Times New Roman" w:hAnsi="Times New Roman" w:cs="Times New Roman"/>
          <w:lang w:val="es-MX"/>
        </w:rPr>
      </w:pPr>
    </w:p>
    <w:p w14:paraId="77C0DAB5" w14:textId="43EB583A" w:rsidR="00896EF9" w:rsidRPr="00896EF9" w:rsidRDefault="00896EF9" w:rsidP="00BA415F">
      <w:pPr>
        <w:rPr>
          <w:rFonts w:ascii="Times New Roman" w:eastAsia="Times New Roman" w:hAnsi="Times New Roman" w:cs="Times New Roman"/>
          <w:lang w:val="es-MX"/>
        </w:rPr>
      </w:pPr>
      <w:r w:rsidRPr="00896EF9">
        <w:rPr>
          <w:rFonts w:ascii="Arial" w:eastAsia="Times New Roman" w:hAnsi="Arial" w:cs="Arial"/>
          <w:b/>
          <w:bCs/>
          <w:color w:val="000000"/>
          <w:lang w:val="es-MX"/>
        </w:rPr>
        <w:t>4.</w:t>
      </w:r>
      <w:r w:rsidRPr="00896EF9">
        <w:rPr>
          <w:rFonts w:ascii="Arial" w:eastAsia="Times New Roman" w:hAnsi="Arial" w:cs="Arial"/>
          <w:b/>
          <w:bCs/>
          <w:color w:val="000000"/>
          <w:lang w:val="es-MX"/>
        </w:rPr>
        <w:tab/>
      </w:r>
      <w:r w:rsidR="00D8231E">
        <w:rPr>
          <w:rFonts w:ascii="Arial" w:eastAsia="Times New Roman" w:hAnsi="Arial" w:cs="Arial"/>
          <w:b/>
          <w:bCs/>
          <w:color w:val="000000"/>
          <w:lang w:val="es-MX"/>
        </w:rPr>
        <w:t>La</w:t>
      </w:r>
      <w:r w:rsidRPr="00896EF9">
        <w:rPr>
          <w:rFonts w:ascii="Arial" w:eastAsia="Times New Roman" w:hAnsi="Arial" w:cs="Arial"/>
          <w:b/>
          <w:bCs/>
          <w:color w:val="000000"/>
          <w:lang w:val="es-MX"/>
        </w:rPr>
        <w:t xml:space="preserve"> </w:t>
      </w:r>
      <w:r w:rsidRPr="00D8231E">
        <w:rPr>
          <w:rFonts w:ascii="Arial" w:eastAsia="Times New Roman" w:hAnsi="Arial" w:cs="Arial"/>
          <w:b/>
          <w:bCs/>
          <w:color w:val="000000"/>
          <w:lang w:val="es-MX"/>
        </w:rPr>
        <w:t xml:space="preserve">inmediatez </w:t>
      </w:r>
      <w:r w:rsidRPr="00896EF9">
        <w:rPr>
          <w:rFonts w:ascii="Arial" w:eastAsia="Times New Roman" w:hAnsi="Arial" w:cs="Arial"/>
          <w:b/>
          <w:bCs/>
          <w:color w:val="000000"/>
          <w:lang w:val="es-MX"/>
        </w:rPr>
        <w:t xml:space="preserve">como </w:t>
      </w:r>
      <w:r w:rsidR="00D8231E">
        <w:rPr>
          <w:rFonts w:ascii="Arial" w:eastAsia="Times New Roman" w:hAnsi="Arial" w:cs="Arial"/>
          <w:b/>
          <w:bCs/>
          <w:color w:val="000000"/>
          <w:lang w:val="es-MX"/>
        </w:rPr>
        <w:t>requisito general</w:t>
      </w:r>
      <w:r w:rsidRPr="00896EF9">
        <w:rPr>
          <w:rFonts w:ascii="Arial" w:eastAsia="Times New Roman" w:hAnsi="Arial" w:cs="Arial"/>
          <w:b/>
          <w:bCs/>
          <w:color w:val="000000"/>
          <w:lang w:val="es-MX"/>
        </w:rPr>
        <w:t xml:space="preserve"> de procedencia de la acción de tutela contra providencias judiciales</w:t>
      </w:r>
    </w:p>
    <w:p w14:paraId="3C93497D" w14:textId="77777777" w:rsidR="00896EF9" w:rsidRPr="00896EF9" w:rsidRDefault="00896EF9" w:rsidP="00BA415F">
      <w:pPr>
        <w:jc w:val="left"/>
        <w:rPr>
          <w:rFonts w:ascii="Times New Roman" w:eastAsia="Times New Roman" w:hAnsi="Times New Roman" w:cs="Times New Roman"/>
          <w:lang w:val="es-MX"/>
        </w:rPr>
      </w:pPr>
    </w:p>
    <w:p w14:paraId="18E05179" w14:textId="77777777" w:rsidR="00D8231E" w:rsidRPr="00521C8B" w:rsidRDefault="00896EF9" w:rsidP="00BA415F">
      <w:pPr>
        <w:rPr>
          <w:rFonts w:ascii="Arial" w:eastAsia="Arial" w:hAnsi="Arial" w:cs="Arial"/>
        </w:rPr>
      </w:pPr>
      <w:r w:rsidRPr="00896EF9">
        <w:rPr>
          <w:rFonts w:ascii="Arial" w:eastAsia="Times New Roman" w:hAnsi="Arial" w:cs="Arial"/>
          <w:color w:val="000000"/>
          <w:lang w:val="es-MX"/>
        </w:rPr>
        <w:t>4.1.</w:t>
      </w:r>
      <w:r w:rsidR="00D8231E">
        <w:rPr>
          <w:rFonts w:ascii="Arial" w:eastAsia="Times New Roman" w:hAnsi="Arial" w:cs="Arial"/>
          <w:color w:val="000000"/>
          <w:lang w:val="es-MX"/>
        </w:rPr>
        <w:tab/>
      </w:r>
      <w:r w:rsidR="00D8231E" w:rsidRPr="00521C8B">
        <w:rPr>
          <w:rFonts w:ascii="Arial" w:eastAsia="Arial" w:hAnsi="Arial" w:cs="Arial"/>
        </w:rPr>
        <w:t>La Corte Constitucional</w:t>
      </w:r>
      <w:r w:rsidR="00D8231E" w:rsidRPr="00521C8B">
        <w:rPr>
          <w:rFonts w:ascii="Arial" w:eastAsia="Arial" w:hAnsi="Arial" w:cs="Arial"/>
          <w:vertAlign w:val="superscript"/>
        </w:rPr>
        <w:footnoteReference w:id="7"/>
      </w:r>
      <w:r w:rsidR="00D8231E" w:rsidRPr="00521C8B">
        <w:rPr>
          <w:rFonts w:ascii="Arial" w:eastAsia="Arial" w:hAnsi="Arial" w:cs="Arial"/>
        </w:rPr>
        <w:t xml:space="preserve"> ha señalado que si bien no es posible establecer un término de caducidad que limite el ejercicio de la acción de la tutela, ésta no puede presentarse en cualquier tiempo y por lo tanto debe existir un término razonable entre la ocurrencia de la vulneración o puesta en riesgo de los derechos fundamentales del actor y la presentación de la demanda, en la medida en que la naturaleza misma de este medio de defensa judicial no sólo tiene que ver con la urgencia en la protección de las garantías constitucionales de una persona, sino también con el respeto de la seguridad jurídica y de los derechos de los terceros afectados.</w:t>
      </w:r>
    </w:p>
    <w:p w14:paraId="70A24FB1" w14:textId="77777777" w:rsidR="00D8231E" w:rsidRDefault="00D8231E" w:rsidP="00D8231E">
      <w:pPr>
        <w:rPr>
          <w:rFonts w:ascii="Arial" w:eastAsia="Arial" w:hAnsi="Arial" w:cs="Arial"/>
        </w:rPr>
      </w:pPr>
    </w:p>
    <w:p w14:paraId="1DD8371C" w14:textId="77777777" w:rsidR="00D8231E" w:rsidRPr="00521C8B" w:rsidRDefault="00D8231E" w:rsidP="00D8231E">
      <w:pPr>
        <w:rPr>
          <w:rFonts w:ascii="Arial" w:eastAsia="Arial" w:hAnsi="Arial" w:cs="Arial"/>
          <w:i/>
          <w:sz w:val="22"/>
          <w:szCs w:val="22"/>
        </w:rPr>
      </w:pPr>
      <w:r w:rsidRPr="00521C8B">
        <w:rPr>
          <w:rFonts w:ascii="Arial" w:eastAsia="Arial" w:hAnsi="Arial" w:cs="Arial"/>
        </w:rPr>
        <w:t xml:space="preserve">En este orden de ideas, la inmediatez es más bien una condición que busca que la acción se presente en un término razonable contado desde el momento en que se tuvo conocimiento de la violación o amenaza de los derechos fundamentales y no un </w:t>
      </w:r>
      <w:r w:rsidRPr="00521C8B">
        <w:rPr>
          <w:rFonts w:ascii="Arial" w:eastAsia="Arial" w:hAnsi="Arial" w:cs="Arial"/>
        </w:rPr>
        <w:lastRenderedPageBreak/>
        <w:t xml:space="preserve">término de caducidad. Justamente, porque la acción de tutela es un medio excepcional para la protección pronta y eficaz, es que se requiere que se ejerza en un tiempo prudencial. Por ello, el presupuesto de la inmediatez constituye un requisito para habilitar el estudio de fondo de la acción de tutela, pues se evita </w:t>
      </w:r>
      <w:r w:rsidRPr="00521C8B">
        <w:rPr>
          <w:rFonts w:ascii="Arial" w:eastAsia="Arial" w:hAnsi="Arial" w:cs="Arial"/>
          <w:i/>
          <w:sz w:val="22"/>
          <w:szCs w:val="22"/>
        </w:rPr>
        <w:t>“el uso de este mecanismo constitucional como herramienta que consienta la negligencia o indiferencia de los actores, o que propicie la inseguridad jurídica”</w:t>
      </w:r>
      <w:r w:rsidRPr="00521C8B">
        <w:rPr>
          <w:rFonts w:ascii="Arial" w:eastAsia="Arial" w:hAnsi="Arial" w:cs="Arial"/>
          <w:i/>
          <w:sz w:val="22"/>
          <w:szCs w:val="22"/>
          <w:vertAlign w:val="superscript"/>
        </w:rPr>
        <w:footnoteReference w:id="8"/>
      </w:r>
      <w:r w:rsidRPr="00521C8B">
        <w:rPr>
          <w:rFonts w:ascii="Arial" w:eastAsia="Arial" w:hAnsi="Arial" w:cs="Arial"/>
          <w:i/>
          <w:sz w:val="22"/>
          <w:szCs w:val="22"/>
        </w:rPr>
        <w:t>.</w:t>
      </w:r>
    </w:p>
    <w:p w14:paraId="0AC6DFC1" w14:textId="77777777" w:rsidR="00D8231E" w:rsidRPr="00521C8B" w:rsidRDefault="00D8231E" w:rsidP="00D8231E">
      <w:pPr>
        <w:rPr>
          <w:rFonts w:ascii="Arial" w:eastAsia="Arial" w:hAnsi="Arial" w:cs="Arial"/>
        </w:rPr>
      </w:pPr>
    </w:p>
    <w:p w14:paraId="07F707C2" w14:textId="77777777" w:rsidR="00D8231E" w:rsidRDefault="00D8231E" w:rsidP="00D8231E">
      <w:pPr>
        <w:rPr>
          <w:rFonts w:ascii="Arial" w:hAnsi="Arial" w:cs="Arial"/>
        </w:rPr>
      </w:pPr>
      <w:r w:rsidRPr="00521C8B">
        <w:rPr>
          <w:rFonts w:ascii="Arial" w:hAnsi="Arial" w:cs="Arial"/>
        </w:rPr>
        <w:t>La jurisprudencia constitucional ha identificado cinco criterios orientadores para que el juez de tutela pueda determinar</w:t>
      </w:r>
      <w:r w:rsidRPr="00521C8B">
        <w:rPr>
          <w:rFonts w:ascii="Arial" w:hAnsi="Arial" w:cs="Arial"/>
          <w:vertAlign w:val="superscript"/>
        </w:rPr>
        <w:footnoteReference w:id="9"/>
      </w:r>
      <w:r w:rsidRPr="00521C8B">
        <w:rPr>
          <w:rFonts w:ascii="Arial" w:hAnsi="Arial" w:cs="Arial"/>
        </w:rPr>
        <w:t xml:space="preserve">, en cada caso, si se ha cumplido con el requisito de la inmediatez. </w:t>
      </w:r>
    </w:p>
    <w:p w14:paraId="060C1A35" w14:textId="77777777" w:rsidR="00D8231E" w:rsidRDefault="00D8231E" w:rsidP="00D8231E">
      <w:pPr>
        <w:rPr>
          <w:rFonts w:ascii="Arial" w:hAnsi="Arial" w:cs="Arial"/>
        </w:rPr>
      </w:pPr>
    </w:p>
    <w:p w14:paraId="34CF8C69" w14:textId="2ECF70C3" w:rsidR="00D8231E" w:rsidRPr="00521C8B" w:rsidRDefault="00D8231E" w:rsidP="00D8231E">
      <w:pPr>
        <w:rPr>
          <w:rFonts w:ascii="Arial" w:hAnsi="Arial" w:cs="Arial"/>
        </w:rPr>
      </w:pPr>
      <w:r>
        <w:rPr>
          <w:rFonts w:ascii="Arial" w:hAnsi="Arial" w:cs="Arial"/>
        </w:rPr>
        <w:t xml:space="preserve">Dichos </w:t>
      </w:r>
      <w:r w:rsidRPr="00521C8B">
        <w:rPr>
          <w:rFonts w:ascii="Arial" w:hAnsi="Arial" w:cs="Arial"/>
        </w:rPr>
        <w:t>criterios</w:t>
      </w:r>
      <w:r>
        <w:rPr>
          <w:rFonts w:ascii="Arial" w:hAnsi="Arial" w:cs="Arial"/>
        </w:rPr>
        <w:t xml:space="preserve"> orientadores </w:t>
      </w:r>
      <w:r w:rsidRPr="00521C8B">
        <w:rPr>
          <w:rFonts w:ascii="Arial" w:hAnsi="Arial" w:cs="Arial"/>
        </w:rPr>
        <w:t>se precisaron en la sentencia SU-391 de 2016</w:t>
      </w:r>
      <w:r w:rsidRPr="00521C8B">
        <w:rPr>
          <w:rFonts w:ascii="Arial" w:hAnsi="Arial" w:cs="Arial"/>
          <w:vertAlign w:val="superscript"/>
        </w:rPr>
        <w:footnoteReference w:id="10"/>
      </w:r>
      <w:r w:rsidRPr="00521C8B">
        <w:rPr>
          <w:rFonts w:ascii="Arial" w:hAnsi="Arial" w:cs="Arial"/>
        </w:rPr>
        <w:t xml:space="preserve">, </w:t>
      </w:r>
      <w:r>
        <w:rPr>
          <w:rFonts w:ascii="Arial" w:hAnsi="Arial" w:cs="Arial"/>
        </w:rPr>
        <w:t>de la siguiente forma</w:t>
      </w:r>
      <w:r w:rsidRPr="00521C8B">
        <w:rPr>
          <w:rFonts w:ascii="Arial" w:hAnsi="Arial" w:cs="Arial"/>
        </w:rPr>
        <w:t xml:space="preserve">: </w:t>
      </w:r>
    </w:p>
    <w:p w14:paraId="194A67CC" w14:textId="77777777" w:rsidR="00D8231E" w:rsidRPr="00521C8B" w:rsidRDefault="00D8231E" w:rsidP="00D8231E">
      <w:pPr>
        <w:rPr>
          <w:rFonts w:ascii="Arial" w:hAnsi="Arial" w:cs="Arial"/>
          <w:highlight w:val="yellow"/>
        </w:rPr>
      </w:pPr>
    </w:p>
    <w:p w14:paraId="567CB3CE" w14:textId="77777777" w:rsidR="00D8231E" w:rsidRPr="00BA415F" w:rsidRDefault="00D8231E" w:rsidP="00D8231E">
      <w:pPr>
        <w:ind w:left="567" w:right="567"/>
        <w:rPr>
          <w:rFonts w:ascii="Arial" w:hAnsi="Arial" w:cs="Arial"/>
          <w:i/>
          <w:sz w:val="21"/>
          <w:szCs w:val="21"/>
        </w:rPr>
      </w:pPr>
      <w:r w:rsidRPr="00BA415F">
        <w:rPr>
          <w:rFonts w:ascii="Arial" w:hAnsi="Arial" w:cs="Arial"/>
          <w:i/>
          <w:sz w:val="21"/>
          <w:szCs w:val="21"/>
        </w:rPr>
        <w:t>“(i) </w:t>
      </w:r>
      <w:r w:rsidRPr="00BA415F">
        <w:rPr>
          <w:rFonts w:ascii="Arial" w:hAnsi="Arial" w:cs="Arial"/>
          <w:i/>
          <w:sz w:val="21"/>
          <w:szCs w:val="21"/>
          <w:u w:val="single"/>
        </w:rPr>
        <w:t>La situación personal del peticionario:</w:t>
      </w:r>
      <w:r w:rsidRPr="00BA415F">
        <w:rPr>
          <w:rFonts w:ascii="Arial" w:hAnsi="Arial" w:cs="Arial"/>
          <w:i/>
          <w:sz w:val="21"/>
          <w:szCs w:val="21"/>
        </w:rPr>
        <w:t xml:space="preserve"> debe analizarse la situación personal del peticionario, pues en determinados casos esta hace desproporcionada la exigencia de presentar la acción de tutela en un término breve; (ii) </w:t>
      </w:r>
      <w:r w:rsidRPr="00BA415F">
        <w:rPr>
          <w:rFonts w:ascii="Arial" w:hAnsi="Arial" w:cs="Arial"/>
          <w:i/>
          <w:sz w:val="21"/>
          <w:szCs w:val="21"/>
          <w:u w:val="single"/>
        </w:rPr>
        <w:t>El momento en el que se produce la vulneración:</w:t>
      </w:r>
      <w:r w:rsidRPr="00BA415F">
        <w:rPr>
          <w:rFonts w:ascii="Arial" w:hAnsi="Arial" w:cs="Arial"/>
          <w:i/>
          <w:sz w:val="21"/>
          <w:szCs w:val="21"/>
        </w:rPr>
        <w:t> pueden existir casos de vulneraciones permanentes a los derechos fundamentales. En estos casos, para analizar la inmediatez el juez de tutela no debe contar el término desde el momento en el que la vulneración o amenaza inició hasta la fecha de presentación de la tutela, sino que debe tomar en cuenta el tiempo por el que esta se prolongó; (iii) </w:t>
      </w:r>
      <w:r w:rsidRPr="00BA415F">
        <w:rPr>
          <w:rFonts w:ascii="Arial" w:hAnsi="Arial" w:cs="Arial"/>
          <w:i/>
          <w:sz w:val="21"/>
          <w:szCs w:val="21"/>
          <w:u w:val="single"/>
        </w:rPr>
        <w:t>La naturaleza de la vulneración:</w:t>
      </w:r>
      <w:r w:rsidRPr="00BA415F">
        <w:rPr>
          <w:rFonts w:ascii="Arial" w:hAnsi="Arial" w:cs="Arial"/>
          <w:i/>
          <w:sz w:val="21"/>
          <w:szCs w:val="21"/>
        </w:rPr>
        <w:t> existen casos donde se presenta un nexo causal entre el ejercicio inoportuno de la acción de tutela y la vulneración de los derechos de los interesados. De acuerdo con este criterio, el juez debe analizar si la demora en la presentación de la tutela guarda relación con la situación de vulneración de derechos fundamentales que alega el peticionario; (iv) </w:t>
      </w:r>
      <w:r w:rsidRPr="00BA415F">
        <w:rPr>
          <w:rFonts w:ascii="Arial" w:hAnsi="Arial" w:cs="Arial"/>
          <w:i/>
          <w:sz w:val="21"/>
          <w:szCs w:val="21"/>
          <w:u w:val="single"/>
        </w:rPr>
        <w:t>La actuación contra la que se dirige la tutela:</w:t>
      </w:r>
      <w:r w:rsidRPr="00BA415F">
        <w:rPr>
          <w:rFonts w:ascii="Arial" w:hAnsi="Arial" w:cs="Arial"/>
          <w:i/>
          <w:sz w:val="21"/>
          <w:szCs w:val="21"/>
        </w:rPr>
        <w:t> la jurisprudencia constitucional ha señalado que el análisis de la inmediatez puede variar dependiendo de la actuación que se identifica como vulneratoria de los derechos invocados en la tutela. Específicamente, ha señalado que este análisis debe ser más estricto tratándose de acciones de tutela contra providencias judiciales y (v)   </w:t>
      </w:r>
      <w:r w:rsidRPr="00BA415F">
        <w:rPr>
          <w:rFonts w:ascii="Arial" w:hAnsi="Arial" w:cs="Arial"/>
          <w:i/>
          <w:sz w:val="21"/>
          <w:szCs w:val="21"/>
          <w:u w:val="single"/>
        </w:rPr>
        <w:t>Los efectos de la tutela:</w:t>
      </w:r>
      <w:r w:rsidRPr="00BA415F">
        <w:rPr>
          <w:rFonts w:ascii="Arial" w:hAnsi="Arial" w:cs="Arial"/>
          <w:i/>
          <w:sz w:val="21"/>
          <w:szCs w:val="21"/>
        </w:rPr>
        <w:t> la Corte ha considerado que, aún si se encuentra un motivo que justifique la demora en la interposición de la tutela, el juez debe tener en cuenta los efectos que esta tendría en los derechos de terceros si se declarara procedente”</w:t>
      </w:r>
      <w:r w:rsidRPr="00BA415F">
        <w:rPr>
          <w:rFonts w:ascii="Arial" w:hAnsi="Arial" w:cs="Arial"/>
          <w:i/>
          <w:sz w:val="21"/>
          <w:szCs w:val="21"/>
          <w:vertAlign w:val="superscript"/>
        </w:rPr>
        <w:footnoteReference w:id="11"/>
      </w:r>
      <w:r w:rsidRPr="00BA415F">
        <w:rPr>
          <w:rFonts w:ascii="Arial" w:hAnsi="Arial" w:cs="Arial"/>
          <w:i/>
          <w:sz w:val="21"/>
          <w:szCs w:val="21"/>
        </w:rPr>
        <w:t xml:space="preserve"> </w:t>
      </w:r>
    </w:p>
    <w:p w14:paraId="090AD69B" w14:textId="77777777" w:rsidR="00D8231E" w:rsidRPr="00521C8B" w:rsidRDefault="00D8231E" w:rsidP="00BA415F">
      <w:pPr>
        <w:spacing w:line="360" w:lineRule="auto"/>
        <w:rPr>
          <w:rFonts w:ascii="Arial" w:hAnsi="Arial" w:cs="Arial"/>
          <w:highlight w:val="yellow"/>
        </w:rPr>
      </w:pPr>
    </w:p>
    <w:p w14:paraId="5C526DEF" w14:textId="5B950972" w:rsidR="00896EF9" w:rsidRDefault="00D8231E" w:rsidP="00D8231E">
      <w:pPr>
        <w:rPr>
          <w:rFonts w:ascii="Arial" w:hAnsi="Arial" w:cs="Arial"/>
        </w:rPr>
      </w:pPr>
      <w:r w:rsidRPr="00521C8B">
        <w:rPr>
          <w:rFonts w:ascii="Arial" w:hAnsi="Arial" w:cs="Arial"/>
        </w:rPr>
        <w:t xml:space="preserve">Específicamente, en torno a la verificación de este presupuesto cuando la tutela que se analiza está dirigida contra una providencia judicial, la Sala Plena de esta Corporación </w:t>
      </w:r>
      <w:r>
        <w:rPr>
          <w:rFonts w:ascii="Arial" w:hAnsi="Arial" w:cs="Arial"/>
        </w:rPr>
        <w:t xml:space="preserve">en </w:t>
      </w:r>
      <w:r w:rsidRPr="00521C8B">
        <w:rPr>
          <w:rFonts w:ascii="Arial" w:hAnsi="Arial" w:cs="Arial"/>
        </w:rPr>
        <w:t>sentencia de unificación del 5 de agosto de 2014</w:t>
      </w:r>
      <w:r w:rsidRPr="00521C8B">
        <w:rPr>
          <w:rFonts w:ascii="Arial" w:hAnsi="Arial" w:cs="Arial"/>
          <w:vertAlign w:val="superscript"/>
        </w:rPr>
        <w:footnoteReference w:id="12"/>
      </w:r>
      <w:r w:rsidRPr="00521C8B">
        <w:rPr>
          <w:rFonts w:ascii="Arial" w:hAnsi="Arial" w:cs="Arial"/>
        </w:rPr>
        <w:t xml:space="preserve"> </w:t>
      </w:r>
      <w:bookmarkStart w:id="4" w:name="OLE_LINK3"/>
      <w:bookmarkStart w:id="5" w:name="OLE_LINK4"/>
      <w:r w:rsidRPr="00521C8B">
        <w:rPr>
          <w:rFonts w:ascii="Arial" w:hAnsi="Arial" w:cs="Arial"/>
        </w:rPr>
        <w:t>estableció, como regla general, que el mecanismo de amparo debe promoverse en un plazo máximo de seis meses contados a partir de la notificación de la sentencia o providencia objeto de reproche constitucional, límite temporal que también ha sido acogido por la Corte Constitucional</w:t>
      </w:r>
      <w:r w:rsidRPr="00521C8B">
        <w:rPr>
          <w:rFonts w:ascii="Arial" w:hAnsi="Arial" w:cs="Arial"/>
          <w:vertAlign w:val="superscript"/>
        </w:rPr>
        <w:footnoteReference w:id="13"/>
      </w:r>
      <w:r w:rsidRPr="00521C8B">
        <w:rPr>
          <w:rFonts w:ascii="Arial" w:hAnsi="Arial" w:cs="Arial"/>
        </w:rPr>
        <w:t>.</w:t>
      </w:r>
      <w:bookmarkEnd w:id="4"/>
      <w:bookmarkEnd w:id="5"/>
    </w:p>
    <w:p w14:paraId="7F9837FF" w14:textId="77777777" w:rsidR="00BA415F" w:rsidRPr="00D8231E" w:rsidRDefault="00BA415F" w:rsidP="00D8231E">
      <w:pPr>
        <w:rPr>
          <w:rFonts w:ascii="Arial" w:hAnsi="Arial" w:cs="Arial"/>
        </w:rPr>
      </w:pPr>
    </w:p>
    <w:p w14:paraId="61505C3D" w14:textId="690C5E92" w:rsidR="00896EF9" w:rsidRPr="00896EF9" w:rsidRDefault="00896EF9" w:rsidP="00896EF9">
      <w:pPr>
        <w:rPr>
          <w:rFonts w:ascii="Times New Roman" w:eastAsia="Times New Roman" w:hAnsi="Times New Roman" w:cs="Times New Roman"/>
          <w:lang w:val="es-MX"/>
        </w:rPr>
      </w:pPr>
      <w:r w:rsidRPr="00896EF9">
        <w:rPr>
          <w:rFonts w:ascii="Arial" w:eastAsia="Times New Roman" w:hAnsi="Arial" w:cs="Arial"/>
          <w:color w:val="000000"/>
          <w:lang w:val="es-MX"/>
        </w:rPr>
        <w:lastRenderedPageBreak/>
        <w:t>4.2.</w:t>
      </w:r>
      <w:r w:rsidR="00D8231E">
        <w:rPr>
          <w:rFonts w:ascii="Arial" w:eastAsia="Times New Roman" w:hAnsi="Arial" w:cs="Arial"/>
          <w:color w:val="000000"/>
          <w:lang w:val="es-MX"/>
        </w:rPr>
        <w:tab/>
      </w:r>
      <w:r w:rsidRPr="00896EF9">
        <w:rPr>
          <w:rFonts w:ascii="Arial" w:eastAsia="Times New Roman" w:hAnsi="Arial" w:cs="Arial"/>
          <w:color w:val="000000"/>
          <w:lang w:val="es-MX"/>
        </w:rPr>
        <w:t>El accionante pretende que se deje sin efectos la sentencia de segunda instancia proferida por la S</w:t>
      </w:r>
      <w:r w:rsidR="001B01A1">
        <w:rPr>
          <w:rFonts w:ascii="Arial" w:eastAsia="Times New Roman" w:hAnsi="Arial" w:cs="Arial"/>
          <w:color w:val="000000"/>
          <w:lang w:val="es-MX"/>
        </w:rPr>
        <w:t>ubsección “A”</w:t>
      </w:r>
      <w:r w:rsidRPr="00896EF9">
        <w:rPr>
          <w:rFonts w:ascii="Arial" w:eastAsia="Times New Roman" w:hAnsi="Arial" w:cs="Arial"/>
          <w:color w:val="000000"/>
          <w:lang w:val="es-MX"/>
        </w:rPr>
        <w:t xml:space="preserve"> de la Sección Tercera del Consejo de Estado, dentro del medio de control de reparación directa con radicado No. </w:t>
      </w:r>
      <w:r w:rsidR="001B01A1">
        <w:rPr>
          <w:rFonts w:ascii="Arial" w:eastAsia="Times New Roman" w:hAnsi="Arial" w:cs="Arial"/>
          <w:color w:val="000000"/>
          <w:lang w:val="es-MX"/>
        </w:rPr>
        <w:t>76001</w:t>
      </w:r>
      <w:r w:rsidR="00D8231E">
        <w:rPr>
          <w:rFonts w:ascii="Arial" w:eastAsia="Times New Roman" w:hAnsi="Arial" w:cs="Arial"/>
          <w:color w:val="000000"/>
          <w:lang w:val="es-MX"/>
        </w:rPr>
        <w:t>-</w:t>
      </w:r>
      <w:r w:rsidR="001B01A1">
        <w:rPr>
          <w:rFonts w:ascii="Arial" w:eastAsia="Times New Roman" w:hAnsi="Arial" w:cs="Arial"/>
          <w:color w:val="000000"/>
          <w:lang w:val="es-MX"/>
        </w:rPr>
        <w:t>23</w:t>
      </w:r>
      <w:r w:rsidR="00D8231E">
        <w:rPr>
          <w:rFonts w:ascii="Arial" w:eastAsia="Times New Roman" w:hAnsi="Arial" w:cs="Arial"/>
          <w:color w:val="000000"/>
          <w:lang w:val="es-MX"/>
        </w:rPr>
        <w:t>-</w:t>
      </w:r>
      <w:r w:rsidR="001B01A1">
        <w:rPr>
          <w:rFonts w:ascii="Arial" w:eastAsia="Times New Roman" w:hAnsi="Arial" w:cs="Arial"/>
          <w:color w:val="000000"/>
          <w:lang w:val="es-MX"/>
        </w:rPr>
        <w:t>31</w:t>
      </w:r>
      <w:r w:rsidR="00D8231E">
        <w:rPr>
          <w:rFonts w:ascii="Arial" w:eastAsia="Times New Roman" w:hAnsi="Arial" w:cs="Arial"/>
          <w:color w:val="000000"/>
          <w:lang w:val="es-MX"/>
        </w:rPr>
        <w:t>-</w:t>
      </w:r>
      <w:r w:rsidR="001B01A1">
        <w:rPr>
          <w:rFonts w:ascii="Arial" w:eastAsia="Times New Roman" w:hAnsi="Arial" w:cs="Arial"/>
          <w:color w:val="000000"/>
          <w:lang w:val="es-MX"/>
        </w:rPr>
        <w:t>000</w:t>
      </w:r>
      <w:r w:rsidR="00D8231E">
        <w:rPr>
          <w:rFonts w:ascii="Arial" w:eastAsia="Times New Roman" w:hAnsi="Arial" w:cs="Arial"/>
          <w:color w:val="000000"/>
          <w:lang w:val="es-MX"/>
        </w:rPr>
        <w:t>-</w:t>
      </w:r>
      <w:r w:rsidR="001B01A1">
        <w:rPr>
          <w:rFonts w:ascii="Arial" w:eastAsia="Times New Roman" w:hAnsi="Arial" w:cs="Arial"/>
          <w:color w:val="000000"/>
          <w:lang w:val="es-MX"/>
        </w:rPr>
        <w:t>2006</w:t>
      </w:r>
      <w:r w:rsidR="00D8231E">
        <w:rPr>
          <w:rFonts w:ascii="Arial" w:eastAsia="Times New Roman" w:hAnsi="Arial" w:cs="Arial"/>
          <w:color w:val="000000"/>
          <w:lang w:val="es-MX"/>
        </w:rPr>
        <w:t>-</w:t>
      </w:r>
      <w:r w:rsidR="001B01A1">
        <w:rPr>
          <w:rFonts w:ascii="Arial" w:eastAsia="Times New Roman" w:hAnsi="Arial" w:cs="Arial"/>
          <w:color w:val="000000"/>
          <w:lang w:val="es-MX"/>
        </w:rPr>
        <w:t>03055</w:t>
      </w:r>
      <w:r w:rsidR="00D8231E">
        <w:rPr>
          <w:rFonts w:ascii="Arial" w:eastAsia="Times New Roman" w:hAnsi="Arial" w:cs="Arial"/>
          <w:color w:val="000000"/>
          <w:lang w:val="es-MX"/>
        </w:rPr>
        <w:t>-</w:t>
      </w:r>
      <w:r w:rsidR="001B01A1">
        <w:rPr>
          <w:rFonts w:ascii="Arial" w:eastAsia="Times New Roman" w:hAnsi="Arial" w:cs="Arial"/>
          <w:color w:val="000000"/>
          <w:lang w:val="es-MX"/>
        </w:rPr>
        <w:t>01</w:t>
      </w:r>
      <w:r w:rsidRPr="00896EF9">
        <w:rPr>
          <w:rFonts w:ascii="Arial" w:eastAsia="Times New Roman" w:hAnsi="Arial" w:cs="Arial"/>
          <w:color w:val="000000"/>
          <w:lang w:val="es-MX"/>
        </w:rPr>
        <w:t xml:space="preserve"> (</w:t>
      </w:r>
      <w:r w:rsidR="001B01A1" w:rsidRPr="001B01A1">
        <w:rPr>
          <w:rFonts w:ascii="Arial" w:eastAsia="Times New Roman" w:hAnsi="Arial" w:cs="Arial"/>
          <w:color w:val="000000"/>
          <w:lang w:val="es-MX"/>
        </w:rPr>
        <w:t>51013</w:t>
      </w:r>
      <w:r w:rsidRPr="00896EF9">
        <w:rPr>
          <w:rFonts w:ascii="Arial" w:eastAsia="Times New Roman" w:hAnsi="Arial" w:cs="Arial"/>
          <w:color w:val="000000"/>
          <w:lang w:val="es-MX"/>
        </w:rPr>
        <w:t>). </w:t>
      </w:r>
    </w:p>
    <w:p w14:paraId="62EF8665" w14:textId="77777777" w:rsidR="00896EF9" w:rsidRPr="00896EF9" w:rsidRDefault="00896EF9" w:rsidP="00896EF9">
      <w:pPr>
        <w:jc w:val="left"/>
        <w:rPr>
          <w:rFonts w:ascii="Times New Roman" w:eastAsia="Times New Roman" w:hAnsi="Times New Roman" w:cs="Times New Roman"/>
          <w:lang w:val="es-MX"/>
        </w:rPr>
      </w:pPr>
    </w:p>
    <w:p w14:paraId="5E1391E0" w14:textId="14A72F38" w:rsidR="00D8231E" w:rsidRDefault="00896EF9" w:rsidP="00896EF9">
      <w:pPr>
        <w:rPr>
          <w:rFonts w:ascii="Arial" w:eastAsia="Times New Roman" w:hAnsi="Arial" w:cs="Arial"/>
          <w:color w:val="000000"/>
          <w:lang w:val="es-MX"/>
        </w:rPr>
      </w:pPr>
      <w:r w:rsidRPr="00896EF9">
        <w:rPr>
          <w:rFonts w:ascii="Arial" w:eastAsia="Times New Roman" w:hAnsi="Arial" w:cs="Arial"/>
          <w:color w:val="000000"/>
          <w:lang w:val="es-MX"/>
        </w:rPr>
        <w:t xml:space="preserve">La referida sentencia </w:t>
      </w:r>
      <w:r w:rsidR="00D8231E">
        <w:rPr>
          <w:rFonts w:ascii="Arial" w:eastAsia="Times New Roman" w:hAnsi="Arial" w:cs="Arial"/>
          <w:color w:val="000000"/>
          <w:lang w:val="es-MX"/>
        </w:rPr>
        <w:t xml:space="preserve">se profirió </w:t>
      </w:r>
      <w:r w:rsidRPr="00896EF9">
        <w:rPr>
          <w:rFonts w:ascii="Arial" w:eastAsia="Times New Roman" w:hAnsi="Arial" w:cs="Arial"/>
          <w:color w:val="000000"/>
          <w:lang w:val="es-MX"/>
        </w:rPr>
        <w:t xml:space="preserve">el </w:t>
      </w:r>
      <w:r w:rsidR="001B01A1" w:rsidRPr="00BA415F">
        <w:rPr>
          <w:rFonts w:ascii="Arial" w:eastAsia="Times New Roman" w:hAnsi="Arial" w:cs="Arial"/>
          <w:b/>
          <w:bCs/>
          <w:color w:val="000000"/>
          <w:lang w:val="es-MX"/>
        </w:rPr>
        <w:t>28</w:t>
      </w:r>
      <w:r w:rsidRPr="00BA415F">
        <w:rPr>
          <w:rFonts w:ascii="Arial" w:eastAsia="Times New Roman" w:hAnsi="Arial" w:cs="Arial"/>
          <w:b/>
          <w:bCs/>
          <w:color w:val="000000"/>
          <w:lang w:val="es-MX"/>
        </w:rPr>
        <w:t xml:space="preserve"> de </w:t>
      </w:r>
      <w:r w:rsidR="001B01A1" w:rsidRPr="00BA415F">
        <w:rPr>
          <w:rFonts w:ascii="Arial" w:eastAsia="Times New Roman" w:hAnsi="Arial" w:cs="Arial"/>
          <w:b/>
          <w:bCs/>
          <w:color w:val="000000"/>
          <w:lang w:val="es-MX"/>
        </w:rPr>
        <w:t>agosto</w:t>
      </w:r>
      <w:r w:rsidRPr="00BA415F">
        <w:rPr>
          <w:rFonts w:ascii="Arial" w:eastAsia="Times New Roman" w:hAnsi="Arial" w:cs="Arial"/>
          <w:b/>
          <w:bCs/>
          <w:color w:val="000000"/>
          <w:lang w:val="es-MX"/>
        </w:rPr>
        <w:t xml:space="preserve"> de 201</w:t>
      </w:r>
      <w:r w:rsidR="001B01A1" w:rsidRPr="00BA415F">
        <w:rPr>
          <w:rFonts w:ascii="Arial" w:eastAsia="Times New Roman" w:hAnsi="Arial" w:cs="Arial"/>
          <w:b/>
          <w:bCs/>
          <w:color w:val="000000"/>
          <w:lang w:val="es-MX"/>
        </w:rPr>
        <w:t>9</w:t>
      </w:r>
      <w:r w:rsidR="001B01A1">
        <w:rPr>
          <w:rStyle w:val="Refdenotaalpie"/>
          <w:rFonts w:ascii="Arial" w:eastAsia="Times New Roman" w:hAnsi="Arial" w:cs="Arial"/>
          <w:color w:val="000000"/>
          <w:lang w:val="es-MX"/>
        </w:rPr>
        <w:footnoteReference w:id="14"/>
      </w:r>
      <w:r w:rsidRPr="00896EF9">
        <w:rPr>
          <w:rFonts w:ascii="Arial" w:eastAsia="Times New Roman" w:hAnsi="Arial" w:cs="Arial"/>
          <w:color w:val="000000"/>
          <w:lang w:val="es-MX"/>
        </w:rPr>
        <w:t xml:space="preserve"> y </w:t>
      </w:r>
      <w:r w:rsidR="00D8231E">
        <w:rPr>
          <w:rFonts w:ascii="Arial" w:eastAsia="Times New Roman" w:hAnsi="Arial" w:cs="Arial"/>
          <w:color w:val="000000"/>
          <w:lang w:val="es-MX"/>
        </w:rPr>
        <w:t xml:space="preserve">se notificó </w:t>
      </w:r>
      <w:r w:rsidRPr="00896EF9">
        <w:rPr>
          <w:rFonts w:ascii="Arial" w:eastAsia="Times New Roman" w:hAnsi="Arial" w:cs="Arial"/>
          <w:color w:val="000000"/>
          <w:lang w:val="es-MX"/>
        </w:rPr>
        <w:t>por edicto que se desfijó</w:t>
      </w:r>
      <w:r w:rsidR="00BA415F" w:rsidRPr="00BA415F">
        <w:rPr>
          <w:rFonts w:ascii="Arial" w:eastAsia="Times New Roman" w:hAnsi="Arial" w:cs="Arial"/>
          <w:color w:val="000000"/>
          <w:lang w:val="es-MX"/>
        </w:rPr>
        <w:t xml:space="preserve"> </w:t>
      </w:r>
      <w:r w:rsidRPr="00BA415F">
        <w:rPr>
          <w:rFonts w:ascii="Arial" w:eastAsia="Times New Roman" w:hAnsi="Arial" w:cs="Arial"/>
          <w:color w:val="000000"/>
          <w:lang w:val="es-MX"/>
        </w:rPr>
        <w:t>el</w:t>
      </w:r>
      <w:r w:rsidRPr="00BA415F">
        <w:rPr>
          <w:rFonts w:ascii="Arial" w:eastAsia="Times New Roman" w:hAnsi="Arial" w:cs="Arial"/>
          <w:b/>
          <w:bCs/>
          <w:color w:val="000000"/>
          <w:lang w:val="es-MX"/>
        </w:rPr>
        <w:t xml:space="preserve"> </w:t>
      </w:r>
      <w:r w:rsidR="000B47BC" w:rsidRPr="00BA415F">
        <w:rPr>
          <w:rFonts w:ascii="Arial" w:eastAsia="Times New Roman" w:hAnsi="Arial" w:cs="Arial"/>
          <w:b/>
          <w:bCs/>
          <w:color w:val="000000"/>
          <w:lang w:val="es-MX"/>
        </w:rPr>
        <w:t>9</w:t>
      </w:r>
      <w:r w:rsidRPr="00BA415F">
        <w:rPr>
          <w:rFonts w:ascii="Arial" w:eastAsia="Times New Roman" w:hAnsi="Arial" w:cs="Arial"/>
          <w:b/>
          <w:bCs/>
          <w:color w:val="000000"/>
          <w:lang w:val="es-MX"/>
        </w:rPr>
        <w:t xml:space="preserve"> de </w:t>
      </w:r>
      <w:r w:rsidR="000B47BC" w:rsidRPr="00BA415F">
        <w:rPr>
          <w:rFonts w:ascii="Arial" w:eastAsia="Times New Roman" w:hAnsi="Arial" w:cs="Arial"/>
          <w:b/>
          <w:bCs/>
          <w:color w:val="000000"/>
          <w:lang w:val="es-MX"/>
        </w:rPr>
        <w:t>septiembre</w:t>
      </w:r>
      <w:r w:rsidRPr="00BA415F">
        <w:rPr>
          <w:rFonts w:ascii="Arial" w:eastAsia="Times New Roman" w:hAnsi="Arial" w:cs="Arial"/>
          <w:b/>
          <w:bCs/>
          <w:color w:val="000000"/>
          <w:lang w:val="es-MX"/>
        </w:rPr>
        <w:t xml:space="preserve"> de 2019</w:t>
      </w:r>
      <w:r w:rsidR="000B47BC" w:rsidRPr="00D8231E">
        <w:rPr>
          <w:rStyle w:val="Refdenotaalpie"/>
          <w:rFonts w:ascii="Arial" w:eastAsia="Times New Roman" w:hAnsi="Arial" w:cs="Arial"/>
          <w:color w:val="000000"/>
          <w:lang w:val="es-MX"/>
        </w:rPr>
        <w:footnoteReference w:id="15"/>
      </w:r>
      <w:r w:rsidR="00D8231E">
        <w:rPr>
          <w:rFonts w:ascii="Arial" w:eastAsia="Times New Roman" w:hAnsi="Arial" w:cs="Arial"/>
          <w:color w:val="000000"/>
          <w:lang w:val="es-MX"/>
        </w:rPr>
        <w:t xml:space="preserve">. </w:t>
      </w:r>
      <w:r w:rsidR="00772B6E">
        <w:rPr>
          <w:rFonts w:ascii="Arial" w:eastAsia="Times New Roman" w:hAnsi="Arial" w:cs="Arial"/>
          <w:color w:val="000000"/>
          <w:lang w:val="es-MX"/>
        </w:rPr>
        <w:t xml:space="preserve">Por tanto, atendiendo al </w:t>
      </w:r>
      <w:r w:rsidR="00D8231E">
        <w:rPr>
          <w:rFonts w:ascii="Arial" w:eastAsia="Times New Roman" w:hAnsi="Arial" w:cs="Arial"/>
          <w:color w:val="000000"/>
          <w:lang w:val="es-MX"/>
        </w:rPr>
        <w:t xml:space="preserve">plazo razonable fijado por la </w:t>
      </w:r>
      <w:r w:rsidRPr="00896EF9">
        <w:rPr>
          <w:rFonts w:ascii="Arial" w:eastAsia="Times New Roman" w:hAnsi="Arial" w:cs="Arial"/>
          <w:color w:val="000000"/>
          <w:lang w:val="es-MX"/>
        </w:rPr>
        <w:t xml:space="preserve">jurisprudencia </w:t>
      </w:r>
      <w:r w:rsidR="00D8231E">
        <w:rPr>
          <w:rFonts w:ascii="Arial" w:eastAsia="Times New Roman" w:hAnsi="Arial" w:cs="Arial"/>
          <w:color w:val="000000"/>
          <w:lang w:val="es-MX"/>
        </w:rPr>
        <w:t xml:space="preserve">constitucional, </w:t>
      </w:r>
      <w:r w:rsidRPr="00896EF9">
        <w:rPr>
          <w:rFonts w:ascii="Arial" w:eastAsia="Times New Roman" w:hAnsi="Arial" w:cs="Arial"/>
          <w:color w:val="000000"/>
          <w:lang w:val="es-MX"/>
        </w:rPr>
        <w:t>la acción de tutela deb</w:t>
      </w:r>
      <w:r w:rsidR="00D8231E">
        <w:rPr>
          <w:rFonts w:ascii="Arial" w:eastAsia="Times New Roman" w:hAnsi="Arial" w:cs="Arial"/>
          <w:color w:val="000000"/>
          <w:lang w:val="es-MX"/>
        </w:rPr>
        <w:t xml:space="preserve">ió </w:t>
      </w:r>
      <w:r w:rsidRPr="00896EF9">
        <w:rPr>
          <w:rFonts w:ascii="Arial" w:eastAsia="Times New Roman" w:hAnsi="Arial" w:cs="Arial"/>
          <w:color w:val="000000"/>
          <w:lang w:val="es-MX"/>
        </w:rPr>
        <w:t>interponerse</w:t>
      </w:r>
      <w:r w:rsidR="00772B6E">
        <w:rPr>
          <w:rFonts w:ascii="Arial" w:eastAsia="Times New Roman" w:hAnsi="Arial" w:cs="Arial"/>
          <w:color w:val="000000"/>
          <w:lang w:val="es-MX"/>
        </w:rPr>
        <w:t>,</w:t>
      </w:r>
      <w:r w:rsidRPr="00896EF9">
        <w:rPr>
          <w:rFonts w:ascii="Arial" w:eastAsia="Times New Roman" w:hAnsi="Arial" w:cs="Arial"/>
          <w:color w:val="000000"/>
          <w:lang w:val="es-MX"/>
        </w:rPr>
        <w:t xml:space="preserve"> a más tardar, el </w:t>
      </w:r>
      <w:r w:rsidR="000B47BC" w:rsidRPr="00BA415F">
        <w:rPr>
          <w:rFonts w:ascii="Arial" w:eastAsia="Times New Roman" w:hAnsi="Arial" w:cs="Arial"/>
          <w:color w:val="000000"/>
          <w:lang w:val="es-MX"/>
        </w:rPr>
        <w:t>10</w:t>
      </w:r>
      <w:r w:rsidRPr="00BA415F">
        <w:rPr>
          <w:rFonts w:ascii="Arial" w:eastAsia="Times New Roman" w:hAnsi="Arial" w:cs="Arial"/>
          <w:color w:val="000000"/>
          <w:lang w:val="es-MX"/>
        </w:rPr>
        <w:t xml:space="preserve"> de </w:t>
      </w:r>
      <w:r w:rsidR="000B47BC" w:rsidRPr="00BA415F">
        <w:rPr>
          <w:rFonts w:ascii="Arial" w:eastAsia="Times New Roman" w:hAnsi="Arial" w:cs="Arial"/>
          <w:color w:val="000000"/>
          <w:lang w:val="es-MX"/>
        </w:rPr>
        <w:t>marzo</w:t>
      </w:r>
      <w:r w:rsidRPr="00BA415F">
        <w:rPr>
          <w:rFonts w:ascii="Arial" w:eastAsia="Times New Roman" w:hAnsi="Arial" w:cs="Arial"/>
          <w:color w:val="000000"/>
          <w:lang w:val="es-MX"/>
        </w:rPr>
        <w:t xml:space="preserve"> de 20</w:t>
      </w:r>
      <w:r w:rsidR="00772B6E" w:rsidRPr="00BA415F">
        <w:rPr>
          <w:rFonts w:ascii="Arial" w:eastAsia="Times New Roman" w:hAnsi="Arial" w:cs="Arial"/>
          <w:color w:val="000000"/>
          <w:lang w:val="es-MX"/>
        </w:rPr>
        <w:t>20</w:t>
      </w:r>
      <w:r w:rsidRPr="00896EF9">
        <w:rPr>
          <w:rFonts w:ascii="Arial" w:eastAsia="Times New Roman" w:hAnsi="Arial" w:cs="Arial"/>
          <w:color w:val="000000"/>
          <w:lang w:val="es-MX"/>
        </w:rPr>
        <w:t xml:space="preserve">. </w:t>
      </w:r>
    </w:p>
    <w:p w14:paraId="60122710" w14:textId="77777777" w:rsidR="00D8231E" w:rsidRDefault="00D8231E" w:rsidP="00896EF9">
      <w:pPr>
        <w:rPr>
          <w:rFonts w:ascii="Arial" w:eastAsia="Times New Roman" w:hAnsi="Arial" w:cs="Arial"/>
          <w:color w:val="000000"/>
          <w:lang w:val="es-MX"/>
        </w:rPr>
      </w:pPr>
    </w:p>
    <w:p w14:paraId="1A03C2A9" w14:textId="146BE59C" w:rsidR="00896EF9" w:rsidRPr="00D8231E" w:rsidRDefault="00896EF9" w:rsidP="00896EF9">
      <w:pPr>
        <w:rPr>
          <w:rFonts w:ascii="Arial" w:eastAsia="Times New Roman" w:hAnsi="Arial" w:cs="Arial"/>
          <w:color w:val="000000"/>
          <w:lang w:val="es-MX"/>
        </w:rPr>
      </w:pPr>
      <w:r w:rsidRPr="00896EF9">
        <w:rPr>
          <w:rFonts w:ascii="Arial" w:eastAsia="Times New Roman" w:hAnsi="Arial" w:cs="Arial"/>
          <w:color w:val="000000"/>
          <w:lang w:val="es-MX"/>
        </w:rPr>
        <w:t xml:space="preserve">Sin embargo, </w:t>
      </w:r>
      <w:r w:rsidR="00772B6E">
        <w:rPr>
          <w:rFonts w:ascii="Arial" w:eastAsia="Times New Roman" w:hAnsi="Arial" w:cs="Arial"/>
          <w:color w:val="000000"/>
          <w:lang w:val="es-MX"/>
        </w:rPr>
        <w:t xml:space="preserve">se </w:t>
      </w:r>
      <w:r w:rsidR="00D8231E">
        <w:rPr>
          <w:rFonts w:ascii="Arial" w:eastAsia="Times New Roman" w:hAnsi="Arial" w:cs="Arial"/>
          <w:color w:val="000000"/>
          <w:lang w:val="es-MX"/>
        </w:rPr>
        <w:t xml:space="preserve">advierte que </w:t>
      </w:r>
      <w:r w:rsidR="000B47BC">
        <w:rPr>
          <w:rFonts w:ascii="Arial" w:eastAsia="Times New Roman" w:hAnsi="Arial" w:cs="Arial"/>
          <w:color w:val="000000"/>
          <w:lang w:val="es-MX"/>
        </w:rPr>
        <w:t xml:space="preserve">la </w:t>
      </w:r>
      <w:r w:rsidR="00D8231E">
        <w:rPr>
          <w:rFonts w:ascii="Arial" w:eastAsia="Times New Roman" w:hAnsi="Arial" w:cs="Arial"/>
          <w:color w:val="000000"/>
          <w:lang w:val="es-MX"/>
        </w:rPr>
        <w:t>demanda de tutela se radicó</w:t>
      </w:r>
      <w:r w:rsidR="000B47BC">
        <w:rPr>
          <w:rFonts w:ascii="Arial" w:eastAsia="Times New Roman" w:hAnsi="Arial" w:cs="Arial"/>
          <w:color w:val="000000"/>
          <w:lang w:val="es-MX"/>
        </w:rPr>
        <w:t xml:space="preserve"> el</w:t>
      </w:r>
      <w:r w:rsidRPr="00896EF9">
        <w:rPr>
          <w:rFonts w:ascii="Arial" w:eastAsia="Times New Roman" w:hAnsi="Arial" w:cs="Arial"/>
          <w:color w:val="000000"/>
          <w:lang w:val="es-MX"/>
        </w:rPr>
        <w:t xml:space="preserve"> </w:t>
      </w:r>
      <w:r w:rsidR="000B47BC" w:rsidRPr="00BA415F">
        <w:rPr>
          <w:rFonts w:ascii="Arial" w:eastAsia="Times New Roman" w:hAnsi="Arial" w:cs="Arial"/>
          <w:b/>
          <w:bCs/>
          <w:color w:val="000000"/>
          <w:lang w:val="es-MX"/>
        </w:rPr>
        <w:t>15</w:t>
      </w:r>
      <w:r w:rsidRPr="00BA415F">
        <w:rPr>
          <w:rFonts w:ascii="Arial" w:eastAsia="Times New Roman" w:hAnsi="Arial" w:cs="Arial"/>
          <w:b/>
          <w:bCs/>
          <w:color w:val="000000"/>
          <w:lang w:val="es-MX"/>
        </w:rPr>
        <w:t xml:space="preserve"> de </w:t>
      </w:r>
      <w:r w:rsidR="000B47BC" w:rsidRPr="00BA415F">
        <w:rPr>
          <w:rFonts w:ascii="Arial" w:eastAsia="Times New Roman" w:hAnsi="Arial" w:cs="Arial"/>
          <w:b/>
          <w:bCs/>
          <w:color w:val="000000"/>
          <w:lang w:val="es-MX"/>
        </w:rPr>
        <w:t>mayo</w:t>
      </w:r>
      <w:r w:rsidRPr="00BA415F">
        <w:rPr>
          <w:rFonts w:ascii="Arial" w:eastAsia="Times New Roman" w:hAnsi="Arial" w:cs="Arial"/>
          <w:b/>
          <w:bCs/>
          <w:color w:val="000000"/>
          <w:lang w:val="es-MX"/>
        </w:rPr>
        <w:t xml:space="preserve"> de 2020</w:t>
      </w:r>
      <w:r w:rsidR="00D8231E">
        <w:rPr>
          <w:rFonts w:ascii="Arial" w:eastAsia="Times New Roman" w:hAnsi="Arial" w:cs="Arial"/>
          <w:b/>
          <w:bCs/>
          <w:color w:val="000000"/>
          <w:lang w:val="es-MX"/>
        </w:rPr>
        <w:t xml:space="preserve">, </w:t>
      </w:r>
      <w:r w:rsidR="00D8231E" w:rsidRPr="00D8231E">
        <w:rPr>
          <w:rFonts w:ascii="Arial" w:eastAsia="Times New Roman" w:hAnsi="Arial" w:cs="Arial"/>
          <w:color w:val="000000"/>
          <w:lang w:val="es-MX"/>
        </w:rPr>
        <w:t xml:space="preserve">esto es, </w:t>
      </w:r>
      <w:r w:rsidR="00D8231E">
        <w:rPr>
          <w:rFonts w:ascii="Arial" w:eastAsia="Times New Roman" w:hAnsi="Arial" w:cs="Arial"/>
          <w:color w:val="000000"/>
          <w:lang w:val="es-MX"/>
        </w:rPr>
        <w:t xml:space="preserve">luego de transcurrido un lapso de </w:t>
      </w:r>
      <w:r w:rsidR="00D8231E" w:rsidRPr="00CA6ADC">
        <w:rPr>
          <w:rFonts w:ascii="Arial" w:eastAsia="Times New Roman" w:hAnsi="Arial" w:cs="Arial"/>
          <w:b/>
          <w:bCs/>
          <w:color w:val="000000"/>
          <w:lang w:val="es-MX"/>
        </w:rPr>
        <w:t>8 meses y 5 días</w:t>
      </w:r>
      <w:r w:rsidR="00772B6E">
        <w:rPr>
          <w:rFonts w:ascii="Arial" w:eastAsia="Times New Roman" w:hAnsi="Arial" w:cs="Arial"/>
          <w:b/>
          <w:bCs/>
          <w:color w:val="000000"/>
          <w:lang w:val="es-MX"/>
        </w:rPr>
        <w:t>,</w:t>
      </w:r>
      <w:r w:rsidR="00D8231E" w:rsidRPr="00896EF9">
        <w:rPr>
          <w:rFonts w:ascii="Arial" w:eastAsia="Times New Roman" w:hAnsi="Arial" w:cs="Arial"/>
          <w:color w:val="000000"/>
          <w:lang w:val="es-MX"/>
        </w:rPr>
        <w:t xml:space="preserve"> </w:t>
      </w:r>
      <w:r w:rsidRPr="00896EF9">
        <w:rPr>
          <w:rFonts w:ascii="Arial" w:eastAsia="Times New Roman" w:hAnsi="Arial" w:cs="Arial"/>
          <w:color w:val="000000"/>
          <w:lang w:val="es-MX"/>
        </w:rPr>
        <w:t xml:space="preserve">entre la notificación de la providencia </w:t>
      </w:r>
      <w:r w:rsidR="00BA415F">
        <w:rPr>
          <w:rFonts w:ascii="Arial" w:eastAsia="Times New Roman" w:hAnsi="Arial" w:cs="Arial"/>
          <w:color w:val="000000"/>
          <w:lang w:val="es-MX"/>
        </w:rPr>
        <w:t>cuestionada</w:t>
      </w:r>
      <w:r w:rsidRPr="00896EF9">
        <w:rPr>
          <w:rFonts w:ascii="Arial" w:eastAsia="Times New Roman" w:hAnsi="Arial" w:cs="Arial"/>
          <w:color w:val="000000"/>
          <w:lang w:val="es-MX"/>
        </w:rPr>
        <w:t xml:space="preserve"> y la presentación de </w:t>
      </w:r>
      <w:r w:rsidR="00BA415F">
        <w:rPr>
          <w:rFonts w:ascii="Arial" w:eastAsia="Times New Roman" w:hAnsi="Arial" w:cs="Arial"/>
          <w:color w:val="000000"/>
          <w:lang w:val="es-MX"/>
        </w:rPr>
        <w:t>la</w:t>
      </w:r>
      <w:r w:rsidRPr="00896EF9">
        <w:rPr>
          <w:rFonts w:ascii="Arial" w:eastAsia="Times New Roman" w:hAnsi="Arial" w:cs="Arial"/>
          <w:color w:val="000000"/>
          <w:lang w:val="es-MX"/>
        </w:rPr>
        <w:t xml:space="preserve"> </w:t>
      </w:r>
      <w:r w:rsidR="00BA415F">
        <w:rPr>
          <w:rFonts w:ascii="Arial" w:eastAsia="Times New Roman" w:hAnsi="Arial" w:cs="Arial"/>
          <w:color w:val="000000"/>
          <w:lang w:val="es-MX"/>
        </w:rPr>
        <w:t xml:space="preserve">acción de </w:t>
      </w:r>
      <w:r w:rsidRPr="00896EF9">
        <w:rPr>
          <w:rFonts w:ascii="Arial" w:eastAsia="Times New Roman" w:hAnsi="Arial" w:cs="Arial"/>
          <w:color w:val="000000"/>
          <w:lang w:val="es-MX"/>
        </w:rPr>
        <w:t>tutela</w:t>
      </w:r>
      <w:r w:rsidR="00BA415F">
        <w:rPr>
          <w:rFonts w:ascii="Arial" w:eastAsia="Times New Roman" w:hAnsi="Arial" w:cs="Arial"/>
          <w:color w:val="000000"/>
          <w:lang w:val="es-MX"/>
        </w:rPr>
        <w:t xml:space="preserve"> de la referencia</w:t>
      </w:r>
      <w:r w:rsidRPr="00896EF9">
        <w:rPr>
          <w:rFonts w:ascii="Arial" w:eastAsia="Times New Roman" w:hAnsi="Arial" w:cs="Arial"/>
          <w:color w:val="000000"/>
          <w:lang w:val="es-MX"/>
        </w:rPr>
        <w:t>.</w:t>
      </w:r>
      <w:r w:rsidR="00772B6E">
        <w:rPr>
          <w:rFonts w:ascii="Arial" w:eastAsia="Times New Roman" w:hAnsi="Arial" w:cs="Arial"/>
          <w:color w:val="000000"/>
          <w:lang w:val="es-MX"/>
        </w:rPr>
        <w:t xml:space="preserve"> </w:t>
      </w:r>
    </w:p>
    <w:p w14:paraId="1D4F8B70" w14:textId="77777777" w:rsidR="00896EF9" w:rsidRPr="00896EF9" w:rsidRDefault="00896EF9" w:rsidP="00896EF9">
      <w:pPr>
        <w:jc w:val="left"/>
        <w:rPr>
          <w:rFonts w:ascii="Times New Roman" w:eastAsia="Times New Roman" w:hAnsi="Times New Roman" w:cs="Times New Roman"/>
          <w:lang w:val="es-MX"/>
        </w:rPr>
      </w:pPr>
    </w:p>
    <w:p w14:paraId="498EB18C" w14:textId="0B0E4ABF" w:rsidR="00896EF9" w:rsidRDefault="00896EF9" w:rsidP="00F70114">
      <w:pPr>
        <w:rPr>
          <w:rFonts w:ascii="Times New Roman" w:eastAsia="Times New Roman" w:hAnsi="Times New Roman" w:cs="Times New Roman"/>
          <w:lang w:val="es-MX"/>
        </w:rPr>
      </w:pPr>
      <w:r w:rsidRPr="00896EF9">
        <w:rPr>
          <w:rFonts w:ascii="Arial" w:eastAsia="Times New Roman" w:hAnsi="Arial" w:cs="Arial"/>
          <w:color w:val="000000"/>
          <w:lang w:val="es-MX"/>
        </w:rPr>
        <w:t>Esto permite inferir que la situación de</w:t>
      </w:r>
      <w:r w:rsidR="00E44902">
        <w:rPr>
          <w:rFonts w:ascii="Arial" w:eastAsia="Times New Roman" w:hAnsi="Arial" w:cs="Arial"/>
          <w:color w:val="000000"/>
          <w:lang w:val="es-MX"/>
        </w:rPr>
        <w:t>l</w:t>
      </w:r>
      <w:r w:rsidRPr="00896EF9">
        <w:rPr>
          <w:rFonts w:ascii="Arial" w:eastAsia="Times New Roman" w:hAnsi="Arial" w:cs="Arial"/>
          <w:color w:val="000000"/>
          <w:lang w:val="es-MX"/>
        </w:rPr>
        <w:t xml:space="preserve"> tutelante no presenta el carácter de urgencia que caracteriza a las acciones de tutela, porque si ést</w:t>
      </w:r>
      <w:r w:rsidR="00E44902">
        <w:rPr>
          <w:rFonts w:ascii="Arial" w:eastAsia="Times New Roman" w:hAnsi="Arial" w:cs="Arial"/>
          <w:color w:val="000000"/>
          <w:lang w:val="es-MX"/>
        </w:rPr>
        <w:t>e</w:t>
      </w:r>
      <w:r w:rsidRPr="00896EF9">
        <w:rPr>
          <w:rFonts w:ascii="Arial" w:eastAsia="Times New Roman" w:hAnsi="Arial" w:cs="Arial"/>
          <w:color w:val="000000"/>
          <w:lang w:val="es-MX"/>
        </w:rPr>
        <w:t xml:space="preserve"> se hubiera encontrado en una situación de verdadera urgencia no hubiese permitido que pasara tanto tiempo, seguramente habría solicitado la protección tan pronto tuvo conocimiento de la “trasgresión” de los derechos, esto es, cuando conoció de la providencia que ahora cuestiona en este proceso.</w:t>
      </w:r>
    </w:p>
    <w:p w14:paraId="66015D47" w14:textId="77777777" w:rsidR="00F70114" w:rsidRPr="00896EF9" w:rsidRDefault="00F70114" w:rsidP="00F70114">
      <w:pPr>
        <w:rPr>
          <w:rFonts w:ascii="Times New Roman" w:eastAsia="Times New Roman" w:hAnsi="Times New Roman" w:cs="Times New Roman"/>
          <w:lang w:val="es-MX"/>
        </w:rPr>
      </w:pPr>
    </w:p>
    <w:p w14:paraId="023E248D" w14:textId="1657BCAF" w:rsidR="00896EF9" w:rsidRPr="00896EF9" w:rsidRDefault="00896EF9" w:rsidP="00896EF9">
      <w:pPr>
        <w:rPr>
          <w:rFonts w:ascii="Times New Roman" w:eastAsia="Times New Roman" w:hAnsi="Times New Roman" w:cs="Times New Roman"/>
          <w:lang w:val="es-MX"/>
        </w:rPr>
      </w:pPr>
      <w:r w:rsidRPr="00896EF9">
        <w:rPr>
          <w:rFonts w:ascii="Arial" w:eastAsia="Times New Roman" w:hAnsi="Arial" w:cs="Arial"/>
          <w:color w:val="000000"/>
          <w:lang w:val="es-MX"/>
        </w:rPr>
        <w:t>4.3.</w:t>
      </w:r>
      <w:r w:rsidR="00772B6E">
        <w:rPr>
          <w:rFonts w:ascii="Arial" w:eastAsia="Times New Roman" w:hAnsi="Arial" w:cs="Arial"/>
          <w:color w:val="000000"/>
          <w:lang w:val="es-MX"/>
        </w:rPr>
        <w:tab/>
      </w:r>
      <w:r w:rsidRPr="00896EF9">
        <w:rPr>
          <w:rFonts w:ascii="Arial" w:eastAsia="Times New Roman" w:hAnsi="Arial" w:cs="Arial"/>
          <w:color w:val="000000"/>
          <w:lang w:val="es-MX"/>
        </w:rPr>
        <w:t xml:space="preserve">Sumado a lo anterior, </w:t>
      </w:r>
      <w:r w:rsidR="00772B6E">
        <w:rPr>
          <w:rFonts w:ascii="Arial" w:eastAsia="Times New Roman" w:hAnsi="Arial" w:cs="Arial"/>
          <w:color w:val="000000"/>
          <w:lang w:val="es-MX"/>
        </w:rPr>
        <w:t xml:space="preserve">la parte interesada no expuso ninguna justificación de la demora para la interposición de la presente acción, y </w:t>
      </w:r>
      <w:r w:rsidRPr="00896EF9">
        <w:rPr>
          <w:rFonts w:ascii="Arial" w:eastAsia="Times New Roman" w:hAnsi="Arial" w:cs="Arial"/>
          <w:color w:val="000000"/>
          <w:lang w:val="es-MX"/>
        </w:rPr>
        <w:t>no se evidenci</w:t>
      </w:r>
      <w:r w:rsidR="00772B6E">
        <w:rPr>
          <w:rFonts w:ascii="Arial" w:eastAsia="Times New Roman" w:hAnsi="Arial" w:cs="Arial"/>
          <w:color w:val="000000"/>
          <w:lang w:val="es-MX"/>
        </w:rPr>
        <w:t>a</w:t>
      </w:r>
      <w:r w:rsidRPr="00896EF9">
        <w:rPr>
          <w:rFonts w:ascii="Arial" w:eastAsia="Times New Roman" w:hAnsi="Arial" w:cs="Arial"/>
          <w:color w:val="000000"/>
          <w:lang w:val="es-MX"/>
        </w:rPr>
        <w:t xml:space="preserve"> que la situación </w:t>
      </w:r>
      <w:r w:rsidR="00E44902">
        <w:rPr>
          <w:rFonts w:ascii="Arial" w:eastAsia="Times New Roman" w:hAnsi="Arial" w:cs="Arial"/>
          <w:color w:val="000000"/>
          <w:lang w:val="es-MX"/>
        </w:rPr>
        <w:t>del actor</w:t>
      </w:r>
      <w:r w:rsidRPr="00896EF9">
        <w:rPr>
          <w:rFonts w:ascii="Arial" w:eastAsia="Times New Roman" w:hAnsi="Arial" w:cs="Arial"/>
          <w:color w:val="000000"/>
          <w:lang w:val="es-MX"/>
        </w:rPr>
        <w:t xml:space="preserve"> se enmarque en alguno de los supuestos establecidos por la jurisprudencia constitucional que puedan excusar su presentación por fuera del término establecido por la Sala Plena del Consejo de Estado.</w:t>
      </w:r>
    </w:p>
    <w:p w14:paraId="250CDCC9" w14:textId="77777777" w:rsidR="00896EF9" w:rsidRPr="00896EF9" w:rsidRDefault="00896EF9" w:rsidP="00896EF9">
      <w:pPr>
        <w:jc w:val="left"/>
        <w:rPr>
          <w:rFonts w:ascii="Times New Roman" w:eastAsia="Times New Roman" w:hAnsi="Times New Roman" w:cs="Times New Roman"/>
          <w:lang w:val="es-MX"/>
        </w:rPr>
      </w:pPr>
    </w:p>
    <w:p w14:paraId="4CA20907" w14:textId="4645353F" w:rsidR="00772B6E" w:rsidRDefault="00896EF9" w:rsidP="00896EF9">
      <w:pPr>
        <w:rPr>
          <w:rFonts w:ascii="Arial" w:eastAsia="Times New Roman" w:hAnsi="Arial" w:cs="Arial"/>
          <w:color w:val="000000"/>
          <w:lang w:val="es-MX"/>
        </w:rPr>
      </w:pPr>
      <w:r w:rsidRPr="00896EF9">
        <w:rPr>
          <w:rFonts w:ascii="Arial" w:eastAsia="Times New Roman" w:hAnsi="Arial" w:cs="Arial"/>
          <w:color w:val="000000"/>
          <w:lang w:val="es-MX"/>
        </w:rPr>
        <w:t>4.4.</w:t>
      </w:r>
      <w:r w:rsidR="00772B6E">
        <w:rPr>
          <w:rFonts w:ascii="Arial" w:eastAsia="Times New Roman" w:hAnsi="Arial" w:cs="Arial"/>
          <w:color w:val="000000"/>
          <w:lang w:val="es-MX"/>
        </w:rPr>
        <w:tab/>
        <w:t xml:space="preserve">La Sala </w:t>
      </w:r>
      <w:r w:rsidR="00F70114">
        <w:rPr>
          <w:rFonts w:ascii="Arial" w:eastAsia="Times New Roman" w:hAnsi="Arial" w:cs="Arial"/>
          <w:color w:val="000000"/>
          <w:lang w:val="es-MX"/>
        </w:rPr>
        <w:t>estima pertinente advertir que la suspensión de términos decretada por el Consejo Superior de la Judicatura como medida de mitigación de contagio de la Covid-19</w:t>
      </w:r>
      <w:r w:rsidR="00E44902">
        <w:rPr>
          <w:rFonts w:ascii="Arial" w:eastAsia="Times New Roman" w:hAnsi="Arial" w:cs="Arial"/>
          <w:color w:val="000000"/>
          <w:lang w:val="es-MX"/>
        </w:rPr>
        <w:t>,</w:t>
      </w:r>
      <w:r w:rsidR="00F70114">
        <w:rPr>
          <w:rFonts w:ascii="Arial" w:eastAsia="Times New Roman" w:hAnsi="Arial" w:cs="Arial"/>
          <w:color w:val="000000"/>
          <w:lang w:val="es-MX"/>
        </w:rPr>
        <w:t xml:space="preserve"> no influye en la interposición oportuna de esta acción de tutela</w:t>
      </w:r>
      <w:r w:rsidR="00772B6E">
        <w:rPr>
          <w:rFonts w:ascii="Arial" w:eastAsia="Times New Roman" w:hAnsi="Arial" w:cs="Arial"/>
          <w:color w:val="000000"/>
          <w:lang w:val="es-MX"/>
        </w:rPr>
        <w:t>:</w:t>
      </w:r>
      <w:r w:rsidR="00BC4C38">
        <w:rPr>
          <w:rFonts w:ascii="Arial" w:eastAsia="Times New Roman" w:hAnsi="Arial" w:cs="Arial"/>
          <w:color w:val="000000"/>
          <w:lang w:val="es-MX"/>
        </w:rPr>
        <w:t xml:space="preserve"> </w:t>
      </w:r>
    </w:p>
    <w:p w14:paraId="04C50246" w14:textId="77777777" w:rsidR="00772B6E" w:rsidRDefault="00772B6E" w:rsidP="00896EF9">
      <w:pPr>
        <w:rPr>
          <w:rFonts w:ascii="Arial" w:eastAsia="Times New Roman" w:hAnsi="Arial" w:cs="Arial"/>
          <w:color w:val="000000"/>
          <w:lang w:val="es-MX"/>
        </w:rPr>
      </w:pPr>
    </w:p>
    <w:p w14:paraId="134C134D" w14:textId="77777777" w:rsidR="00772B6E" w:rsidRDefault="00BC4C38" w:rsidP="00896EF9">
      <w:pPr>
        <w:rPr>
          <w:rFonts w:ascii="Arial" w:eastAsia="Times New Roman" w:hAnsi="Arial" w:cs="Arial"/>
          <w:color w:val="000000"/>
          <w:lang w:val="es-MX"/>
        </w:rPr>
      </w:pPr>
      <w:r>
        <w:rPr>
          <w:rFonts w:ascii="Arial" w:eastAsia="Times New Roman" w:hAnsi="Arial" w:cs="Arial"/>
          <w:color w:val="000000"/>
          <w:lang w:val="es-MX"/>
        </w:rPr>
        <w:t>En primer lugar,</w:t>
      </w:r>
      <w:r w:rsidR="00F70114">
        <w:rPr>
          <w:rFonts w:ascii="Arial" w:eastAsia="Times New Roman" w:hAnsi="Arial" w:cs="Arial"/>
          <w:color w:val="000000"/>
          <w:lang w:val="es-MX"/>
        </w:rPr>
        <w:t xml:space="preserve"> el</w:t>
      </w:r>
      <w:r>
        <w:rPr>
          <w:rFonts w:ascii="Arial" w:eastAsia="Times New Roman" w:hAnsi="Arial" w:cs="Arial"/>
          <w:color w:val="000000"/>
          <w:lang w:val="es-MX"/>
        </w:rPr>
        <w:t xml:space="preserve"> Acuerdo</w:t>
      </w:r>
      <w:r w:rsidR="00F70114">
        <w:rPr>
          <w:rFonts w:ascii="Arial" w:eastAsia="Times New Roman" w:hAnsi="Arial" w:cs="Arial"/>
          <w:color w:val="000000"/>
          <w:lang w:val="es-MX"/>
        </w:rPr>
        <w:t xml:space="preserve"> </w:t>
      </w:r>
      <w:r>
        <w:rPr>
          <w:rFonts w:ascii="Arial" w:eastAsia="Times New Roman" w:hAnsi="Arial" w:cs="Arial"/>
          <w:color w:val="000000"/>
          <w:lang w:val="es-MX"/>
        </w:rPr>
        <w:t xml:space="preserve">PCSJA20-11517, </w:t>
      </w:r>
      <w:r w:rsidR="00F70114">
        <w:rPr>
          <w:rFonts w:ascii="Arial" w:eastAsia="Times New Roman" w:hAnsi="Arial" w:cs="Arial"/>
          <w:color w:val="000000"/>
          <w:lang w:val="es-MX"/>
        </w:rPr>
        <w:t>por el cual se adoptó esa determinación</w:t>
      </w:r>
      <w:r>
        <w:rPr>
          <w:rFonts w:ascii="Arial" w:eastAsia="Times New Roman" w:hAnsi="Arial" w:cs="Arial"/>
          <w:color w:val="000000"/>
          <w:lang w:val="es-MX"/>
        </w:rPr>
        <w:t>,</w:t>
      </w:r>
      <w:r w:rsidR="00F70114">
        <w:rPr>
          <w:rFonts w:ascii="Arial" w:eastAsia="Times New Roman" w:hAnsi="Arial" w:cs="Arial"/>
          <w:color w:val="000000"/>
          <w:lang w:val="es-MX"/>
        </w:rPr>
        <w:t xml:space="preserve"> data del </w:t>
      </w:r>
      <w:r>
        <w:rPr>
          <w:rFonts w:ascii="Arial" w:eastAsia="Times New Roman" w:hAnsi="Arial" w:cs="Arial"/>
          <w:color w:val="000000"/>
          <w:lang w:val="es-MX"/>
        </w:rPr>
        <w:t>15 de marzo de 2020, esto nos permite concluir que el plazo razonable de los 6 meses se concretó antes de que se adoptara tal determinación</w:t>
      </w:r>
      <w:r w:rsidR="00E44902">
        <w:rPr>
          <w:rFonts w:ascii="Arial" w:eastAsia="Times New Roman" w:hAnsi="Arial" w:cs="Arial"/>
          <w:color w:val="000000"/>
          <w:lang w:val="es-MX"/>
        </w:rPr>
        <w:t xml:space="preserve">. </w:t>
      </w:r>
    </w:p>
    <w:p w14:paraId="0A6E596F" w14:textId="77777777" w:rsidR="00772B6E" w:rsidRDefault="00772B6E" w:rsidP="00896EF9">
      <w:pPr>
        <w:rPr>
          <w:rFonts w:ascii="Arial" w:eastAsia="Times New Roman" w:hAnsi="Arial" w:cs="Arial"/>
          <w:color w:val="000000"/>
          <w:lang w:val="es-MX"/>
        </w:rPr>
      </w:pPr>
    </w:p>
    <w:p w14:paraId="2AE8FE30" w14:textId="77777777" w:rsidR="00772B6E" w:rsidRDefault="00E44902" w:rsidP="00896EF9">
      <w:pPr>
        <w:rPr>
          <w:rFonts w:ascii="Arial" w:eastAsia="Times New Roman" w:hAnsi="Arial" w:cs="Arial"/>
          <w:color w:val="000000"/>
          <w:lang w:val="es-MX"/>
        </w:rPr>
      </w:pPr>
      <w:r>
        <w:rPr>
          <w:rFonts w:ascii="Arial" w:eastAsia="Times New Roman" w:hAnsi="Arial" w:cs="Arial"/>
          <w:color w:val="000000"/>
          <w:lang w:val="es-MX"/>
        </w:rPr>
        <w:t>E</w:t>
      </w:r>
      <w:r w:rsidR="00BC4C38">
        <w:rPr>
          <w:rFonts w:ascii="Arial" w:eastAsia="Times New Roman" w:hAnsi="Arial" w:cs="Arial"/>
          <w:color w:val="000000"/>
          <w:lang w:val="es-MX"/>
        </w:rPr>
        <w:t xml:space="preserve">n segundo lugar, valga recordar que en el </w:t>
      </w:r>
      <w:r w:rsidR="004170C7">
        <w:rPr>
          <w:rFonts w:ascii="Arial" w:eastAsia="Times New Roman" w:hAnsi="Arial" w:cs="Arial"/>
          <w:color w:val="000000"/>
          <w:lang w:val="es-MX"/>
        </w:rPr>
        <w:t>A</w:t>
      </w:r>
      <w:r w:rsidR="00BC4C38">
        <w:rPr>
          <w:rFonts w:ascii="Arial" w:eastAsia="Times New Roman" w:hAnsi="Arial" w:cs="Arial"/>
          <w:color w:val="000000"/>
          <w:lang w:val="es-MX"/>
        </w:rPr>
        <w:t>cuerdo PCSJA20-11517</w:t>
      </w:r>
      <w:r w:rsidR="004170C7">
        <w:rPr>
          <w:rFonts w:ascii="Arial" w:eastAsia="Times New Roman" w:hAnsi="Arial" w:cs="Arial"/>
          <w:color w:val="000000"/>
          <w:lang w:val="es-MX"/>
        </w:rPr>
        <w:t xml:space="preserve"> </w:t>
      </w:r>
      <w:r>
        <w:rPr>
          <w:rFonts w:ascii="Arial" w:eastAsia="Times New Roman" w:hAnsi="Arial" w:cs="Arial"/>
          <w:color w:val="000000"/>
          <w:lang w:val="es-MX"/>
        </w:rPr>
        <w:t>se suspendieron</w:t>
      </w:r>
      <w:r w:rsidR="004170C7">
        <w:rPr>
          <w:rFonts w:ascii="Arial" w:eastAsia="Times New Roman" w:hAnsi="Arial" w:cs="Arial"/>
          <w:color w:val="000000"/>
          <w:lang w:val="es-MX"/>
        </w:rPr>
        <w:t xml:space="preserve"> los términos judiciales del 16 al 20 de marzo de 2020, </w:t>
      </w:r>
      <w:r w:rsidR="00772B6E">
        <w:rPr>
          <w:rFonts w:ascii="Arial" w:eastAsia="Times New Roman" w:hAnsi="Arial" w:cs="Arial"/>
          <w:color w:val="000000"/>
          <w:lang w:val="es-MX"/>
        </w:rPr>
        <w:t xml:space="preserve">sin embargo, </w:t>
      </w:r>
      <w:r>
        <w:rPr>
          <w:rFonts w:ascii="Arial" w:eastAsia="Times New Roman" w:hAnsi="Arial" w:cs="Arial"/>
          <w:color w:val="000000"/>
          <w:lang w:val="es-MX"/>
        </w:rPr>
        <w:t>el C</w:t>
      </w:r>
      <w:r w:rsidR="00772B6E">
        <w:rPr>
          <w:rFonts w:ascii="Arial" w:eastAsia="Times New Roman" w:hAnsi="Arial" w:cs="Arial"/>
          <w:color w:val="000000"/>
          <w:lang w:val="es-MX"/>
        </w:rPr>
        <w:t xml:space="preserve">onsejo </w:t>
      </w:r>
      <w:r>
        <w:rPr>
          <w:rFonts w:ascii="Arial" w:eastAsia="Times New Roman" w:hAnsi="Arial" w:cs="Arial"/>
          <w:color w:val="000000"/>
          <w:lang w:val="es-MX"/>
        </w:rPr>
        <w:t>S</w:t>
      </w:r>
      <w:r w:rsidR="00772B6E">
        <w:rPr>
          <w:rFonts w:ascii="Arial" w:eastAsia="Times New Roman" w:hAnsi="Arial" w:cs="Arial"/>
          <w:color w:val="000000"/>
          <w:lang w:val="es-MX"/>
        </w:rPr>
        <w:t xml:space="preserve">uperior de la </w:t>
      </w:r>
      <w:r>
        <w:rPr>
          <w:rFonts w:ascii="Arial" w:eastAsia="Times New Roman" w:hAnsi="Arial" w:cs="Arial"/>
          <w:color w:val="000000"/>
          <w:lang w:val="es-MX"/>
        </w:rPr>
        <w:t>J</w:t>
      </w:r>
      <w:r w:rsidR="00772B6E">
        <w:rPr>
          <w:rFonts w:ascii="Arial" w:eastAsia="Times New Roman" w:hAnsi="Arial" w:cs="Arial"/>
          <w:color w:val="000000"/>
          <w:lang w:val="es-MX"/>
        </w:rPr>
        <w:t xml:space="preserve">udicatura </w:t>
      </w:r>
      <w:r w:rsidR="004170C7">
        <w:rPr>
          <w:rFonts w:ascii="Arial" w:eastAsia="Times New Roman" w:hAnsi="Arial" w:cs="Arial"/>
          <w:color w:val="000000"/>
          <w:lang w:val="es-MX"/>
        </w:rPr>
        <w:t xml:space="preserve"> exceptuó </w:t>
      </w:r>
      <w:r>
        <w:rPr>
          <w:rFonts w:ascii="Arial" w:eastAsia="Times New Roman" w:hAnsi="Arial" w:cs="Arial"/>
          <w:color w:val="000000"/>
          <w:lang w:val="es-MX"/>
        </w:rPr>
        <w:t xml:space="preserve">de esta medida </w:t>
      </w:r>
      <w:r w:rsidR="004170C7">
        <w:rPr>
          <w:rFonts w:ascii="Arial" w:eastAsia="Times New Roman" w:hAnsi="Arial" w:cs="Arial"/>
          <w:color w:val="000000"/>
          <w:lang w:val="es-MX"/>
        </w:rPr>
        <w:t>el trámite de acciones de tutelas</w:t>
      </w:r>
      <w:r w:rsidR="004170C7">
        <w:rPr>
          <w:rStyle w:val="Refdenotaalpie"/>
          <w:rFonts w:ascii="Arial" w:eastAsia="Times New Roman" w:hAnsi="Arial" w:cs="Arial"/>
          <w:color w:val="000000"/>
          <w:lang w:val="es-MX"/>
        </w:rPr>
        <w:footnoteReference w:id="16"/>
      </w:r>
      <w:r w:rsidR="00772B6E">
        <w:rPr>
          <w:rFonts w:ascii="Arial" w:eastAsia="Times New Roman" w:hAnsi="Arial" w:cs="Arial"/>
          <w:color w:val="000000"/>
          <w:lang w:val="es-MX"/>
        </w:rPr>
        <w:t>.</w:t>
      </w:r>
    </w:p>
    <w:p w14:paraId="2196980C" w14:textId="77777777" w:rsidR="00772B6E" w:rsidRDefault="00772B6E" w:rsidP="00896EF9">
      <w:pPr>
        <w:rPr>
          <w:rFonts w:ascii="Arial" w:eastAsia="Times New Roman" w:hAnsi="Arial" w:cs="Arial"/>
          <w:color w:val="000000"/>
          <w:lang w:val="es-MX"/>
        </w:rPr>
      </w:pPr>
    </w:p>
    <w:p w14:paraId="746865A6" w14:textId="5CDC7DFC" w:rsidR="00F70114" w:rsidRPr="004170C7" w:rsidRDefault="00772B6E" w:rsidP="00896EF9">
      <w:pPr>
        <w:rPr>
          <w:rFonts w:ascii="Arial" w:eastAsia="Times New Roman" w:hAnsi="Arial" w:cs="Arial"/>
          <w:color w:val="000000"/>
          <w:lang w:val="es-MX"/>
        </w:rPr>
      </w:pPr>
      <w:r>
        <w:rPr>
          <w:rFonts w:ascii="Arial" w:eastAsia="Times New Roman" w:hAnsi="Arial" w:cs="Arial"/>
          <w:color w:val="000000"/>
          <w:lang w:val="es-MX"/>
        </w:rPr>
        <w:lastRenderedPageBreak/>
        <w:t xml:space="preserve">En </w:t>
      </w:r>
      <w:r w:rsidR="00A653ED">
        <w:rPr>
          <w:rFonts w:ascii="Arial" w:eastAsia="Times New Roman" w:hAnsi="Arial" w:cs="Arial"/>
          <w:color w:val="000000"/>
          <w:lang w:val="es-MX"/>
        </w:rPr>
        <w:t xml:space="preserve">igual sentido fueron redactados los acuerdos posteriores que prorrogaron la suspensión de términos. </w:t>
      </w:r>
    </w:p>
    <w:p w14:paraId="6869340A" w14:textId="77777777" w:rsidR="00F70114" w:rsidRDefault="00F70114" w:rsidP="00896EF9">
      <w:pPr>
        <w:rPr>
          <w:rFonts w:ascii="Arial" w:eastAsia="Times New Roman" w:hAnsi="Arial" w:cs="Arial"/>
          <w:color w:val="000000"/>
          <w:lang w:val="es-MX"/>
        </w:rPr>
      </w:pPr>
    </w:p>
    <w:p w14:paraId="797EE143" w14:textId="49F4A340" w:rsidR="00896EF9" w:rsidRDefault="00F70114" w:rsidP="00896EF9">
      <w:pPr>
        <w:rPr>
          <w:rFonts w:ascii="Arial" w:eastAsia="Times New Roman" w:hAnsi="Arial" w:cs="Arial"/>
          <w:color w:val="000000"/>
          <w:lang w:val="es-MX"/>
        </w:rPr>
      </w:pPr>
      <w:r>
        <w:rPr>
          <w:rFonts w:ascii="Arial" w:eastAsia="Times New Roman" w:hAnsi="Arial" w:cs="Arial"/>
          <w:color w:val="000000"/>
          <w:lang w:val="es-MX"/>
        </w:rPr>
        <w:t>4.5.</w:t>
      </w:r>
      <w:r w:rsidR="00772B6E">
        <w:rPr>
          <w:rFonts w:ascii="Arial" w:eastAsia="Times New Roman" w:hAnsi="Arial" w:cs="Arial"/>
          <w:color w:val="000000"/>
          <w:lang w:val="es-MX"/>
        </w:rPr>
        <w:tab/>
        <w:t>por</w:t>
      </w:r>
      <w:r w:rsidR="00896EF9" w:rsidRPr="00896EF9">
        <w:rPr>
          <w:rFonts w:ascii="Arial" w:eastAsia="Times New Roman" w:hAnsi="Arial" w:cs="Arial"/>
          <w:color w:val="000000"/>
          <w:lang w:val="es-MX"/>
        </w:rPr>
        <w:t xml:space="preserve"> los argumentos expuestos, se concluye que la solicitud del amparo constitucional se presentó por fuera de la pauta jurisprudencial de los seis meses que fijó la Sala Plena del Consejo de Estado como término razonable para cuestionar vía tutela providencias judiciales, por lo que se declarará la improcedencia de la </w:t>
      </w:r>
      <w:r w:rsidR="00772B6E">
        <w:rPr>
          <w:rFonts w:ascii="Arial" w:eastAsia="Times New Roman" w:hAnsi="Arial" w:cs="Arial"/>
          <w:color w:val="000000"/>
          <w:lang w:val="es-MX"/>
        </w:rPr>
        <w:t xml:space="preserve">presente </w:t>
      </w:r>
      <w:r w:rsidR="00896EF9" w:rsidRPr="00896EF9">
        <w:rPr>
          <w:rFonts w:ascii="Arial" w:eastAsia="Times New Roman" w:hAnsi="Arial" w:cs="Arial"/>
          <w:color w:val="000000"/>
          <w:lang w:val="es-MX"/>
        </w:rPr>
        <w:t>acción</w:t>
      </w:r>
      <w:r w:rsidR="00772B6E">
        <w:rPr>
          <w:rFonts w:ascii="Arial" w:eastAsia="Times New Roman" w:hAnsi="Arial" w:cs="Arial"/>
          <w:color w:val="000000"/>
          <w:lang w:val="es-MX"/>
        </w:rPr>
        <w:t xml:space="preserve"> de tutela, por no cumplir el </w:t>
      </w:r>
      <w:r w:rsidR="00896EF9" w:rsidRPr="00896EF9">
        <w:rPr>
          <w:rFonts w:ascii="Arial" w:eastAsia="Times New Roman" w:hAnsi="Arial" w:cs="Arial"/>
          <w:color w:val="000000"/>
          <w:lang w:val="es-MX"/>
        </w:rPr>
        <w:t xml:space="preserve">requisito  de </w:t>
      </w:r>
      <w:r w:rsidR="00772B6E">
        <w:rPr>
          <w:rFonts w:ascii="Arial" w:eastAsia="Times New Roman" w:hAnsi="Arial" w:cs="Arial"/>
          <w:color w:val="000000"/>
          <w:lang w:val="es-MX"/>
        </w:rPr>
        <w:t xml:space="preserve">la </w:t>
      </w:r>
      <w:r w:rsidR="00896EF9" w:rsidRPr="00896EF9">
        <w:rPr>
          <w:rFonts w:ascii="Arial" w:eastAsia="Times New Roman" w:hAnsi="Arial" w:cs="Arial"/>
          <w:color w:val="000000"/>
          <w:lang w:val="es-MX"/>
        </w:rPr>
        <w:t>inmediatez.</w:t>
      </w:r>
    </w:p>
    <w:p w14:paraId="24E68FA5" w14:textId="77777777" w:rsidR="004811A7" w:rsidRDefault="004811A7" w:rsidP="00772B6E">
      <w:pPr>
        <w:spacing w:line="360" w:lineRule="auto"/>
        <w:rPr>
          <w:rFonts w:ascii="Arial" w:eastAsia="Arial" w:hAnsi="Arial" w:cs="Arial"/>
        </w:rPr>
      </w:pPr>
    </w:p>
    <w:p w14:paraId="3C217852" w14:textId="77777777" w:rsidR="004811A7" w:rsidRDefault="007632C5">
      <w:pPr>
        <w:rPr>
          <w:rFonts w:ascii="Arial" w:eastAsia="Arial" w:hAnsi="Arial" w:cs="Arial"/>
        </w:rPr>
      </w:pPr>
      <w:r>
        <w:rPr>
          <w:rFonts w:ascii="Arial" w:eastAsia="Arial" w:hAnsi="Arial" w:cs="Arial"/>
        </w:rPr>
        <w:t xml:space="preserve">En mérito de lo expuesto, </w:t>
      </w:r>
      <w:r>
        <w:rPr>
          <w:rFonts w:ascii="Arial" w:eastAsia="Arial" w:hAnsi="Arial" w:cs="Arial"/>
          <w:b/>
        </w:rPr>
        <w:t>la Sección Cuarta de la Sala de lo Contencioso Administrativo del Consejo de Estado</w:t>
      </w:r>
      <w:r>
        <w:rPr>
          <w:rFonts w:ascii="Arial" w:eastAsia="Arial" w:hAnsi="Arial" w:cs="Arial"/>
        </w:rPr>
        <w:t>, administrando justicia en nombre de la República y por autoridad de la ley,</w:t>
      </w:r>
    </w:p>
    <w:p w14:paraId="6B11B149" w14:textId="77777777" w:rsidR="004811A7" w:rsidRDefault="004811A7" w:rsidP="00BA415F">
      <w:pPr>
        <w:spacing w:line="360" w:lineRule="auto"/>
        <w:jc w:val="center"/>
        <w:rPr>
          <w:rFonts w:ascii="Arial" w:eastAsia="Arial" w:hAnsi="Arial" w:cs="Arial"/>
        </w:rPr>
      </w:pPr>
    </w:p>
    <w:p w14:paraId="20CB3302" w14:textId="21B6829E" w:rsidR="004811A7" w:rsidRDefault="007632C5" w:rsidP="00BA415F">
      <w:pPr>
        <w:keepNext/>
        <w:tabs>
          <w:tab w:val="left" w:pos="1080"/>
          <w:tab w:val="left" w:pos="3119"/>
        </w:tabs>
        <w:spacing w:line="360" w:lineRule="auto"/>
        <w:jc w:val="center"/>
        <w:rPr>
          <w:rFonts w:ascii="Arial" w:eastAsia="Arial" w:hAnsi="Arial" w:cs="Arial"/>
          <w:b/>
        </w:rPr>
      </w:pPr>
      <w:r>
        <w:rPr>
          <w:rFonts w:ascii="Arial" w:eastAsia="Arial" w:hAnsi="Arial" w:cs="Arial"/>
          <w:b/>
        </w:rPr>
        <w:t>FALLA</w:t>
      </w:r>
    </w:p>
    <w:p w14:paraId="71BDAD14" w14:textId="77777777" w:rsidR="00B71C92" w:rsidRDefault="00B71C92" w:rsidP="00BA415F">
      <w:pPr>
        <w:keepNext/>
        <w:tabs>
          <w:tab w:val="left" w:pos="1080"/>
          <w:tab w:val="left" w:pos="3119"/>
        </w:tabs>
        <w:spacing w:line="360" w:lineRule="auto"/>
        <w:jc w:val="center"/>
        <w:rPr>
          <w:rFonts w:ascii="Arial" w:eastAsia="Arial" w:hAnsi="Arial" w:cs="Arial"/>
        </w:rPr>
      </w:pPr>
    </w:p>
    <w:p w14:paraId="2E70A660" w14:textId="7F04730D" w:rsidR="004811A7" w:rsidRDefault="00A653ED" w:rsidP="00772B6E">
      <w:pPr>
        <w:numPr>
          <w:ilvl w:val="0"/>
          <w:numId w:val="1"/>
        </w:numPr>
        <w:tabs>
          <w:tab w:val="left" w:pos="0"/>
        </w:tabs>
        <w:ind w:left="0" w:firstLine="0"/>
      </w:pPr>
      <w:r>
        <w:rPr>
          <w:rFonts w:ascii="Arial" w:eastAsia="Arial" w:hAnsi="Arial" w:cs="Arial"/>
          <w:b/>
        </w:rPr>
        <w:t xml:space="preserve">Declarar la improcedencia </w:t>
      </w:r>
      <w:r w:rsidRPr="00A653ED">
        <w:rPr>
          <w:rFonts w:ascii="Arial" w:eastAsia="Arial" w:hAnsi="Arial" w:cs="Arial"/>
          <w:bCs/>
        </w:rPr>
        <w:t>de la acción de tutela</w:t>
      </w:r>
      <w:r w:rsidR="007632C5" w:rsidRPr="00A653ED">
        <w:rPr>
          <w:rFonts w:ascii="Arial" w:eastAsia="Arial" w:hAnsi="Arial" w:cs="Arial"/>
        </w:rPr>
        <w:t xml:space="preserve"> </w:t>
      </w:r>
      <w:r w:rsidR="007632C5">
        <w:rPr>
          <w:rFonts w:ascii="Arial" w:eastAsia="Arial" w:hAnsi="Arial" w:cs="Arial"/>
        </w:rPr>
        <w:t xml:space="preserve">promovida </w:t>
      </w:r>
      <w:r w:rsidR="007632C5" w:rsidRPr="00A653ED">
        <w:rPr>
          <w:rFonts w:ascii="Arial" w:eastAsia="Arial" w:hAnsi="Arial" w:cs="Arial"/>
        </w:rPr>
        <w:t>por</w:t>
      </w:r>
      <w:r w:rsidR="007632C5" w:rsidRPr="00B71C92">
        <w:rPr>
          <w:rFonts w:ascii="Arial" w:eastAsia="Arial" w:hAnsi="Arial" w:cs="Arial"/>
          <w:i/>
          <w:iCs/>
        </w:rPr>
        <w:t xml:space="preserve"> </w:t>
      </w:r>
      <w:r>
        <w:rPr>
          <w:rFonts w:ascii="Arial" w:eastAsia="Arial" w:hAnsi="Arial" w:cs="Arial"/>
          <w:i/>
          <w:iCs/>
        </w:rPr>
        <w:t xml:space="preserve">Everto </w:t>
      </w:r>
      <w:r w:rsidR="008C156A">
        <w:rPr>
          <w:rFonts w:ascii="Arial" w:eastAsia="Arial" w:hAnsi="Arial" w:cs="Arial"/>
          <w:i/>
          <w:iCs/>
        </w:rPr>
        <w:t>Ruiz Romero</w:t>
      </w:r>
      <w:r w:rsidR="007632C5">
        <w:rPr>
          <w:rFonts w:ascii="Arial" w:eastAsia="Arial" w:hAnsi="Arial" w:cs="Arial"/>
          <w:b/>
        </w:rPr>
        <w:t xml:space="preserve">, </w:t>
      </w:r>
      <w:r w:rsidR="007632C5">
        <w:rPr>
          <w:rFonts w:ascii="Arial" w:eastAsia="Arial" w:hAnsi="Arial" w:cs="Arial"/>
        </w:rPr>
        <w:t>por las razones expuestas en la parte motiva de esta providencia.</w:t>
      </w:r>
    </w:p>
    <w:p w14:paraId="32AB71C4" w14:textId="77777777" w:rsidR="004811A7" w:rsidRDefault="004811A7" w:rsidP="00BA415F">
      <w:pPr>
        <w:pBdr>
          <w:top w:val="nil"/>
          <w:left w:val="nil"/>
          <w:bottom w:val="nil"/>
          <w:right w:val="nil"/>
          <w:between w:val="nil"/>
        </w:pBdr>
        <w:spacing w:line="360" w:lineRule="auto"/>
        <w:rPr>
          <w:rFonts w:ascii="Arial" w:eastAsia="Arial" w:hAnsi="Arial" w:cs="Arial"/>
          <w:color w:val="000000"/>
        </w:rPr>
      </w:pPr>
    </w:p>
    <w:p w14:paraId="76382B37" w14:textId="77777777" w:rsidR="004811A7" w:rsidRDefault="007632C5" w:rsidP="00B71C92">
      <w:pPr>
        <w:numPr>
          <w:ilvl w:val="0"/>
          <w:numId w:val="1"/>
        </w:numPr>
        <w:tabs>
          <w:tab w:val="left" w:pos="0"/>
        </w:tabs>
        <w:ind w:left="0" w:firstLine="0"/>
      </w:pPr>
      <w:r>
        <w:rPr>
          <w:rFonts w:ascii="Arial" w:eastAsia="Arial" w:hAnsi="Arial" w:cs="Arial"/>
          <w:b/>
        </w:rPr>
        <w:t>Notificar</w:t>
      </w:r>
      <w:r>
        <w:rPr>
          <w:rFonts w:ascii="Arial" w:eastAsia="Arial" w:hAnsi="Arial" w:cs="Arial"/>
        </w:rPr>
        <w:t xml:space="preserve"> la presente decisión a los interesados, por el medio más expedito.</w:t>
      </w:r>
    </w:p>
    <w:p w14:paraId="63DED3F7" w14:textId="77777777" w:rsidR="004811A7" w:rsidRDefault="004811A7" w:rsidP="00BA415F">
      <w:pPr>
        <w:tabs>
          <w:tab w:val="left" w:pos="0"/>
        </w:tabs>
        <w:spacing w:line="360" w:lineRule="auto"/>
        <w:ind w:left="720"/>
        <w:rPr>
          <w:rFonts w:ascii="Arial" w:eastAsia="Arial" w:hAnsi="Arial" w:cs="Arial"/>
        </w:rPr>
      </w:pPr>
    </w:p>
    <w:p w14:paraId="767695A6" w14:textId="341311A3" w:rsidR="004811A7" w:rsidRDefault="007632C5" w:rsidP="00B71C92">
      <w:pPr>
        <w:numPr>
          <w:ilvl w:val="0"/>
          <w:numId w:val="1"/>
        </w:numPr>
        <w:tabs>
          <w:tab w:val="left" w:pos="0"/>
        </w:tabs>
        <w:ind w:left="0" w:firstLine="0"/>
      </w:pPr>
      <w:r>
        <w:rPr>
          <w:rFonts w:ascii="Arial" w:eastAsia="Arial" w:hAnsi="Arial" w:cs="Arial"/>
          <w:b/>
        </w:rPr>
        <w:t>Publicar</w:t>
      </w:r>
      <w:r>
        <w:rPr>
          <w:rFonts w:ascii="Arial" w:eastAsia="Arial" w:hAnsi="Arial" w:cs="Arial"/>
        </w:rPr>
        <w:t xml:space="preserve"> esta providencia en la página web del Consejo de Estado</w:t>
      </w:r>
      <w:r w:rsidR="00B71C92">
        <w:rPr>
          <w:rFonts w:ascii="Arial" w:eastAsia="Arial" w:hAnsi="Arial" w:cs="Arial"/>
        </w:rPr>
        <w:t>.</w:t>
      </w:r>
    </w:p>
    <w:p w14:paraId="3E58093A" w14:textId="77777777" w:rsidR="004811A7" w:rsidRDefault="004811A7" w:rsidP="00BA415F">
      <w:pPr>
        <w:pBdr>
          <w:top w:val="nil"/>
          <w:left w:val="nil"/>
          <w:bottom w:val="nil"/>
          <w:right w:val="nil"/>
          <w:between w:val="nil"/>
        </w:pBdr>
        <w:spacing w:line="360" w:lineRule="auto"/>
        <w:ind w:left="720" w:hanging="720"/>
        <w:rPr>
          <w:rFonts w:ascii="Arial" w:eastAsia="Arial" w:hAnsi="Arial" w:cs="Arial"/>
          <w:color w:val="000000"/>
        </w:rPr>
      </w:pPr>
    </w:p>
    <w:p w14:paraId="5266BCBA" w14:textId="77777777" w:rsidR="004811A7" w:rsidRDefault="007632C5" w:rsidP="00B71C92">
      <w:pPr>
        <w:numPr>
          <w:ilvl w:val="0"/>
          <w:numId w:val="1"/>
        </w:numPr>
        <w:tabs>
          <w:tab w:val="left" w:pos="0"/>
        </w:tabs>
        <w:ind w:left="0" w:firstLine="0"/>
      </w:pPr>
      <w:r>
        <w:rPr>
          <w:rFonts w:ascii="Arial" w:eastAsia="Arial" w:hAnsi="Arial" w:cs="Arial"/>
        </w:rPr>
        <w:t>De no ser impugnada,</w:t>
      </w:r>
      <w:r>
        <w:rPr>
          <w:rFonts w:ascii="Arial" w:eastAsia="Arial" w:hAnsi="Arial" w:cs="Arial"/>
          <w:b/>
        </w:rPr>
        <w:t xml:space="preserve"> enviar</w:t>
      </w:r>
      <w:r>
        <w:rPr>
          <w:rFonts w:ascii="Arial" w:eastAsia="Arial" w:hAnsi="Arial" w:cs="Arial"/>
        </w:rPr>
        <w:t xml:space="preserve"> a la Corte Constitucional para su eventual revisión.</w:t>
      </w:r>
    </w:p>
    <w:p w14:paraId="4A63106C" w14:textId="77777777" w:rsidR="004811A7" w:rsidRDefault="004811A7" w:rsidP="00BA415F">
      <w:pPr>
        <w:spacing w:line="360" w:lineRule="auto"/>
        <w:rPr>
          <w:rFonts w:ascii="Arial" w:eastAsia="Arial" w:hAnsi="Arial" w:cs="Arial"/>
        </w:rPr>
      </w:pPr>
    </w:p>
    <w:p w14:paraId="5579EBCE" w14:textId="77777777" w:rsidR="004811A7" w:rsidRDefault="007632C5" w:rsidP="00BA415F">
      <w:pPr>
        <w:spacing w:line="360" w:lineRule="auto"/>
        <w:rPr>
          <w:rFonts w:ascii="Arial" w:eastAsia="Arial" w:hAnsi="Arial" w:cs="Arial"/>
        </w:rPr>
      </w:pPr>
      <w:r>
        <w:rPr>
          <w:rFonts w:ascii="Arial" w:eastAsia="Arial" w:hAnsi="Arial" w:cs="Arial"/>
          <w:b/>
        </w:rPr>
        <w:t>Cópiese, notifíquese y cúmplase</w:t>
      </w:r>
    </w:p>
    <w:p w14:paraId="41581F3E" w14:textId="77777777" w:rsidR="004811A7" w:rsidRDefault="004811A7" w:rsidP="00BA415F">
      <w:pPr>
        <w:spacing w:line="360" w:lineRule="auto"/>
        <w:rPr>
          <w:rFonts w:ascii="Arial" w:eastAsia="Arial" w:hAnsi="Arial" w:cs="Arial"/>
        </w:rPr>
      </w:pPr>
      <w:bookmarkStart w:id="6" w:name="_gjdgxs" w:colFirst="0" w:colLast="0"/>
      <w:bookmarkEnd w:id="6"/>
    </w:p>
    <w:p w14:paraId="6CB36C75" w14:textId="77777777" w:rsidR="004811A7" w:rsidRDefault="007632C5" w:rsidP="00772B6E">
      <w:pPr>
        <w:rPr>
          <w:rFonts w:ascii="Arial" w:eastAsia="Arial" w:hAnsi="Arial" w:cs="Arial"/>
        </w:rPr>
      </w:pPr>
      <w:r>
        <w:rPr>
          <w:rFonts w:ascii="Arial" w:eastAsia="Arial" w:hAnsi="Arial" w:cs="Arial"/>
        </w:rPr>
        <w:t>Esta sentencia se estudió y aprobó en sesión celebrada en la fecha.</w:t>
      </w:r>
    </w:p>
    <w:p w14:paraId="3A54A3AA" w14:textId="77777777" w:rsidR="004811A7" w:rsidRDefault="004811A7">
      <w:pPr>
        <w:jc w:val="center"/>
        <w:rPr>
          <w:rFonts w:ascii="Arial" w:eastAsia="Arial" w:hAnsi="Arial" w:cs="Arial"/>
        </w:rPr>
      </w:pPr>
    </w:p>
    <w:p w14:paraId="7EC8257E" w14:textId="77777777" w:rsidR="004811A7" w:rsidRDefault="004811A7" w:rsidP="00772B6E">
      <w:pPr>
        <w:rPr>
          <w:rFonts w:ascii="Arial" w:eastAsia="Arial" w:hAnsi="Arial" w:cs="Arial"/>
        </w:rPr>
      </w:pPr>
    </w:p>
    <w:p w14:paraId="5F535825" w14:textId="77777777" w:rsidR="004811A7" w:rsidRDefault="004811A7">
      <w:pPr>
        <w:jc w:val="center"/>
        <w:rPr>
          <w:rFonts w:ascii="Arial" w:eastAsia="Arial" w:hAnsi="Arial" w:cs="Arial"/>
        </w:rPr>
      </w:pPr>
    </w:p>
    <w:p w14:paraId="1B696992" w14:textId="77777777" w:rsidR="004811A7" w:rsidRDefault="004811A7">
      <w:pPr>
        <w:jc w:val="center"/>
        <w:rPr>
          <w:rFonts w:ascii="Arial" w:eastAsia="Arial" w:hAnsi="Arial" w:cs="Arial"/>
        </w:rPr>
      </w:pPr>
    </w:p>
    <w:p w14:paraId="69A305D6" w14:textId="77777777" w:rsidR="00B71C92" w:rsidRDefault="00B71C92" w:rsidP="00B71C92">
      <w:pPr>
        <w:jc w:val="center"/>
        <w:rPr>
          <w:rFonts w:ascii="Arial" w:eastAsia="Arial" w:hAnsi="Arial" w:cs="Arial"/>
          <w:i/>
        </w:rPr>
      </w:pPr>
      <w:r>
        <w:rPr>
          <w:rFonts w:ascii="Arial" w:eastAsia="Arial" w:hAnsi="Arial" w:cs="Arial"/>
        </w:rPr>
        <w:t>(</w:t>
      </w:r>
      <w:r>
        <w:rPr>
          <w:rFonts w:ascii="Arial" w:eastAsia="Arial" w:hAnsi="Arial" w:cs="Arial"/>
          <w:i/>
        </w:rPr>
        <w:t>Firmado electrónicamente)</w:t>
      </w:r>
    </w:p>
    <w:p w14:paraId="2E23C6EC" w14:textId="77777777" w:rsidR="00B71C92" w:rsidRDefault="00B71C92" w:rsidP="00B71C92">
      <w:pPr>
        <w:jc w:val="center"/>
        <w:rPr>
          <w:rFonts w:ascii="Arial" w:eastAsia="Arial" w:hAnsi="Arial" w:cs="Arial"/>
          <w:b/>
        </w:rPr>
      </w:pPr>
      <w:r>
        <w:rPr>
          <w:rFonts w:ascii="Arial" w:eastAsia="Arial" w:hAnsi="Arial" w:cs="Arial"/>
          <w:b/>
        </w:rPr>
        <w:t>STELLA JEANNETTE CARVAJAL BASTO</w:t>
      </w:r>
    </w:p>
    <w:p w14:paraId="003DB3C7" w14:textId="61A509AB" w:rsidR="00B71C92" w:rsidRDefault="00B71C92" w:rsidP="00BA415F">
      <w:pPr>
        <w:jc w:val="center"/>
        <w:rPr>
          <w:rFonts w:ascii="Arial" w:eastAsia="Arial" w:hAnsi="Arial" w:cs="Arial"/>
        </w:rPr>
      </w:pPr>
      <w:r>
        <w:rPr>
          <w:rFonts w:ascii="Arial" w:eastAsia="Arial" w:hAnsi="Arial" w:cs="Arial"/>
        </w:rPr>
        <w:t>Presidenta de la Sala</w:t>
      </w:r>
    </w:p>
    <w:p w14:paraId="5A268E7E" w14:textId="77777777" w:rsidR="00B71C92" w:rsidRDefault="00B71C92" w:rsidP="00B71C92">
      <w:pPr>
        <w:rPr>
          <w:rFonts w:ascii="Arial" w:eastAsia="Arial" w:hAnsi="Arial" w:cs="Arial"/>
        </w:rPr>
      </w:pPr>
      <w:r>
        <w:rPr>
          <w:rFonts w:ascii="Arial" w:eastAsia="Arial" w:hAnsi="Arial" w:cs="Arial"/>
        </w:rPr>
        <w:t xml:space="preserve"> </w:t>
      </w:r>
    </w:p>
    <w:p w14:paraId="14355045" w14:textId="77777777" w:rsidR="00B71C92" w:rsidRDefault="00B71C92" w:rsidP="00B71C92">
      <w:pPr>
        <w:jc w:val="center"/>
        <w:rPr>
          <w:rFonts w:ascii="Arial" w:eastAsia="Arial" w:hAnsi="Arial" w:cs="Arial"/>
        </w:rPr>
      </w:pPr>
      <w:r>
        <w:rPr>
          <w:rFonts w:ascii="Arial" w:eastAsia="Arial" w:hAnsi="Arial" w:cs="Arial"/>
        </w:rPr>
        <w:t xml:space="preserve"> </w:t>
      </w:r>
    </w:p>
    <w:p w14:paraId="4749FF48" w14:textId="359ADD3D" w:rsidR="00B71C92" w:rsidRDefault="00B71C92" w:rsidP="00B71C92">
      <w:pPr>
        <w:rPr>
          <w:rFonts w:ascii="Arial" w:eastAsia="Arial" w:hAnsi="Arial" w:cs="Arial"/>
        </w:rPr>
      </w:pPr>
    </w:p>
    <w:p w14:paraId="29041B19" w14:textId="77777777" w:rsidR="00B71C92" w:rsidRDefault="00B71C92" w:rsidP="00B71C92">
      <w:pPr>
        <w:rPr>
          <w:rFonts w:ascii="Arial" w:eastAsia="Arial" w:hAnsi="Arial" w:cs="Arial"/>
        </w:rPr>
      </w:pPr>
    </w:p>
    <w:tbl>
      <w:tblPr>
        <w:tblW w:w="9121" w:type="dxa"/>
        <w:tblBorders>
          <w:top w:val="nil"/>
          <w:left w:val="nil"/>
          <w:bottom w:val="nil"/>
          <w:right w:val="nil"/>
          <w:insideH w:val="nil"/>
          <w:insideV w:val="nil"/>
        </w:tblBorders>
        <w:tblLayout w:type="fixed"/>
        <w:tblLook w:val="0600" w:firstRow="0" w:lastRow="0" w:firstColumn="0" w:lastColumn="0" w:noHBand="1" w:noVBand="1"/>
      </w:tblPr>
      <w:tblGrid>
        <w:gridCol w:w="4553"/>
        <w:gridCol w:w="4568"/>
      </w:tblGrid>
      <w:tr w:rsidR="00B71C92" w14:paraId="27F43655" w14:textId="77777777" w:rsidTr="007632C5">
        <w:trPr>
          <w:trHeight w:val="1055"/>
        </w:trPr>
        <w:tc>
          <w:tcPr>
            <w:tcW w:w="4553" w:type="dxa"/>
            <w:tcBorders>
              <w:top w:val="nil"/>
              <w:left w:val="nil"/>
              <w:bottom w:val="nil"/>
              <w:right w:val="nil"/>
            </w:tcBorders>
            <w:tcMar>
              <w:top w:w="100" w:type="dxa"/>
              <w:left w:w="100" w:type="dxa"/>
              <w:bottom w:w="100" w:type="dxa"/>
              <w:right w:w="100" w:type="dxa"/>
            </w:tcMar>
          </w:tcPr>
          <w:p w14:paraId="7CD34305" w14:textId="77777777" w:rsidR="00B71C92" w:rsidRDefault="00B71C92" w:rsidP="007632C5">
            <w:pPr>
              <w:jc w:val="center"/>
              <w:rPr>
                <w:rFonts w:ascii="Arial" w:eastAsia="Arial" w:hAnsi="Arial" w:cs="Arial"/>
                <w:i/>
              </w:rPr>
            </w:pPr>
            <w:r>
              <w:rPr>
                <w:rFonts w:ascii="Arial" w:eastAsia="Arial" w:hAnsi="Arial" w:cs="Arial"/>
              </w:rPr>
              <w:t>(</w:t>
            </w:r>
            <w:r>
              <w:rPr>
                <w:rFonts w:ascii="Arial" w:eastAsia="Arial" w:hAnsi="Arial" w:cs="Arial"/>
                <w:i/>
              </w:rPr>
              <w:t>Firmado electrónicamente)</w:t>
            </w:r>
          </w:p>
          <w:p w14:paraId="4FBF1D2A" w14:textId="77777777" w:rsidR="00B71C92" w:rsidRDefault="00B71C92" w:rsidP="007632C5">
            <w:pPr>
              <w:jc w:val="center"/>
              <w:rPr>
                <w:rFonts w:ascii="Arial" w:eastAsia="Arial" w:hAnsi="Arial" w:cs="Arial"/>
                <w:b/>
              </w:rPr>
            </w:pPr>
            <w:r>
              <w:rPr>
                <w:rFonts w:ascii="Arial" w:eastAsia="Arial" w:hAnsi="Arial" w:cs="Arial"/>
                <w:b/>
              </w:rPr>
              <w:t>MILTON CHAVES GARCÍA</w:t>
            </w:r>
          </w:p>
          <w:p w14:paraId="71CEA1F5" w14:textId="77777777" w:rsidR="00B71C92" w:rsidRDefault="00B71C92" w:rsidP="007632C5">
            <w:pPr>
              <w:jc w:val="center"/>
              <w:rPr>
                <w:rFonts w:ascii="Arial" w:eastAsia="Arial" w:hAnsi="Arial" w:cs="Arial"/>
              </w:rPr>
            </w:pPr>
            <w:r>
              <w:rPr>
                <w:rFonts w:ascii="Arial" w:eastAsia="Arial" w:hAnsi="Arial" w:cs="Arial"/>
              </w:rPr>
              <w:t>Consejero</w:t>
            </w:r>
          </w:p>
        </w:tc>
        <w:tc>
          <w:tcPr>
            <w:tcW w:w="4567" w:type="dxa"/>
            <w:tcBorders>
              <w:top w:val="nil"/>
              <w:left w:val="nil"/>
              <w:bottom w:val="nil"/>
              <w:right w:val="nil"/>
            </w:tcBorders>
            <w:tcMar>
              <w:top w:w="100" w:type="dxa"/>
              <w:left w:w="100" w:type="dxa"/>
              <w:bottom w:w="100" w:type="dxa"/>
              <w:right w:w="100" w:type="dxa"/>
            </w:tcMar>
          </w:tcPr>
          <w:p w14:paraId="1F281BB5" w14:textId="77777777" w:rsidR="00B71C92" w:rsidRDefault="00B71C92" w:rsidP="007632C5">
            <w:pPr>
              <w:jc w:val="center"/>
              <w:rPr>
                <w:rFonts w:ascii="Arial" w:eastAsia="Arial" w:hAnsi="Arial" w:cs="Arial"/>
                <w:i/>
              </w:rPr>
            </w:pPr>
            <w:r>
              <w:rPr>
                <w:rFonts w:ascii="Arial" w:eastAsia="Arial" w:hAnsi="Arial" w:cs="Arial"/>
              </w:rPr>
              <w:t>(</w:t>
            </w:r>
            <w:r>
              <w:rPr>
                <w:rFonts w:ascii="Arial" w:eastAsia="Arial" w:hAnsi="Arial" w:cs="Arial"/>
                <w:i/>
              </w:rPr>
              <w:t>Firmado electrónicamente)</w:t>
            </w:r>
          </w:p>
          <w:p w14:paraId="60BBB137" w14:textId="77777777" w:rsidR="00B71C92" w:rsidRDefault="00B71C92" w:rsidP="007632C5">
            <w:pPr>
              <w:jc w:val="center"/>
              <w:rPr>
                <w:rFonts w:ascii="Arial" w:eastAsia="Arial" w:hAnsi="Arial" w:cs="Arial"/>
                <w:b/>
              </w:rPr>
            </w:pPr>
            <w:r>
              <w:rPr>
                <w:rFonts w:ascii="Arial" w:eastAsia="Arial" w:hAnsi="Arial" w:cs="Arial"/>
                <w:b/>
              </w:rPr>
              <w:t>JULIO ROBERTO PIZA RODRÍGUEZ</w:t>
            </w:r>
          </w:p>
          <w:p w14:paraId="1B8A693E" w14:textId="77777777" w:rsidR="00B71C92" w:rsidRDefault="00B71C92" w:rsidP="007632C5">
            <w:pPr>
              <w:jc w:val="center"/>
              <w:rPr>
                <w:rFonts w:ascii="Arial" w:eastAsia="Arial" w:hAnsi="Arial" w:cs="Arial"/>
              </w:rPr>
            </w:pPr>
            <w:r>
              <w:rPr>
                <w:rFonts w:ascii="Arial" w:eastAsia="Arial" w:hAnsi="Arial" w:cs="Arial"/>
              </w:rPr>
              <w:t>Consejero</w:t>
            </w:r>
          </w:p>
        </w:tc>
      </w:tr>
    </w:tbl>
    <w:p w14:paraId="0FB5D176" w14:textId="4D316778" w:rsidR="001B4252" w:rsidRDefault="001B4252" w:rsidP="00A653ED">
      <w:pPr>
        <w:rPr>
          <w:rFonts w:ascii="Arial" w:eastAsia="Arial" w:hAnsi="Arial" w:cs="Arial"/>
        </w:rPr>
      </w:pPr>
    </w:p>
    <w:sectPr w:rsidR="001B4252">
      <w:headerReference w:type="default" r:id="rId11"/>
      <w:footerReference w:type="default" r:id="rId12"/>
      <w:pgSz w:w="12242" w:h="18722"/>
      <w:pgMar w:top="2495" w:right="1418" w:bottom="2041"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DDCFA" w14:textId="77777777" w:rsidR="00194210" w:rsidRDefault="00194210">
      <w:r>
        <w:separator/>
      </w:r>
    </w:p>
  </w:endnote>
  <w:endnote w:type="continuationSeparator" w:id="0">
    <w:p w14:paraId="3F731A73" w14:textId="77777777" w:rsidR="00194210" w:rsidRDefault="00194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58D45" w14:textId="77777777" w:rsidR="00CA6ADC" w:rsidRDefault="00CA6ADC" w:rsidP="00CA6ADC">
    <w:pPr>
      <w:jc w:val="center"/>
      <w:rPr>
        <w:rFonts w:ascii="Arial" w:eastAsia="Times New Roman" w:hAnsi="Arial"/>
        <w:color w:val="000000"/>
      </w:rPr>
    </w:pPr>
  </w:p>
  <w:p w14:paraId="2599A2BC" w14:textId="703B0C53" w:rsidR="00CA6ADC" w:rsidRDefault="00CA6ADC" w:rsidP="00CA6ADC">
    <w:pPr>
      <w:pBdr>
        <w:top w:val="nil"/>
        <w:left w:val="nil"/>
        <w:bottom w:val="nil"/>
        <w:right w:val="nil"/>
        <w:between w:val="nil"/>
      </w:pBdr>
      <w:tabs>
        <w:tab w:val="center" w:pos="4252"/>
        <w:tab w:val="right" w:pos="8504"/>
      </w:tabs>
      <w:jc w:val="right"/>
      <w:rPr>
        <w:rFonts w:ascii="Arial" w:eastAsia="Arial" w:hAnsi="Arial" w:cs="Arial"/>
        <w:color w:val="000000"/>
        <w:sz w:val="20"/>
        <w:szCs w:val="20"/>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75159">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D197119" w14:textId="77777777" w:rsidR="00CA6ADC" w:rsidRDefault="00CA6ADC" w:rsidP="00CA6ADC">
    <w:pPr>
      <w:jc w:val="center"/>
      <w:rPr>
        <w:rFonts w:ascii="Arial" w:eastAsia="Times New Roman" w:hAnsi="Arial"/>
        <w:color w:val="000000"/>
      </w:rPr>
    </w:pPr>
    <w:r>
      <w:rPr>
        <w:noProof/>
        <w:lang w:val="es-CO" w:eastAsia="es-CO"/>
      </w:rPr>
      <w:drawing>
        <wp:anchor distT="0" distB="0" distL="114300" distR="114300" simplePos="0" relativeHeight="251664384" behindDoc="1" locked="0" layoutInCell="1" allowOverlap="1" wp14:anchorId="3900E087" wp14:editId="71B277CD">
          <wp:simplePos x="0" y="0"/>
          <wp:positionH relativeFrom="column">
            <wp:posOffset>4796790</wp:posOffset>
          </wp:positionH>
          <wp:positionV relativeFrom="paragraph">
            <wp:posOffset>143672</wp:posOffset>
          </wp:positionV>
          <wp:extent cx="990600" cy="771525"/>
          <wp:effectExtent l="0" t="0" r="0" b="3175"/>
          <wp:wrapNone/>
          <wp:docPr id="10" name="Imagen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6"/>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0600" cy="771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14AE89" w14:textId="77777777" w:rsidR="00CA6ADC" w:rsidRDefault="00CA6ADC" w:rsidP="00CA6ADC">
    <w:pPr>
      <w:jc w:val="center"/>
      <w:rPr>
        <w:rFonts w:ascii="Arial" w:eastAsia="Times New Roman" w:hAnsi="Arial"/>
        <w:color w:val="000000"/>
      </w:rPr>
    </w:pPr>
  </w:p>
  <w:p w14:paraId="0878B18A" w14:textId="77777777" w:rsidR="00CA6ADC" w:rsidRPr="00AF0871" w:rsidRDefault="00CA6ADC" w:rsidP="00CA6ADC">
    <w:pPr>
      <w:tabs>
        <w:tab w:val="center" w:pos="4252"/>
        <w:tab w:val="right" w:pos="8504"/>
      </w:tabs>
      <w:jc w:val="center"/>
      <w:rPr>
        <w:sz w:val="16"/>
        <w:szCs w:val="16"/>
      </w:rPr>
    </w:pPr>
    <w:r w:rsidRPr="00AF0871">
      <w:rPr>
        <w:sz w:val="16"/>
        <w:szCs w:val="16"/>
      </w:rPr>
      <w:t>Calle 12 No. 7-65 – Tel: (57-1) 350-6700 – Bogotá D.C. – Colombia</w:t>
    </w:r>
  </w:p>
  <w:p w14:paraId="3305F19C" w14:textId="7561126B" w:rsidR="00D2132F" w:rsidRDefault="00CA6ADC" w:rsidP="00CA6ADC">
    <w:pPr>
      <w:pStyle w:val="Sinespaciado"/>
      <w:jc w:val="center"/>
      <w:rPr>
        <w:color w:val="767171"/>
        <w:sz w:val="20"/>
        <w:szCs w:val="20"/>
      </w:rPr>
    </w:pPr>
    <w:r w:rsidRPr="00AF0871">
      <w:rPr>
        <w:noProof/>
        <w:sz w:val="22"/>
        <w:szCs w:val="22"/>
        <w:lang w:val="es-CO" w:eastAsia="es-CO"/>
      </w:rPr>
      <w:drawing>
        <wp:anchor distT="0" distB="0" distL="114300" distR="114300" simplePos="0" relativeHeight="251663360" behindDoc="1" locked="0" layoutInCell="1" allowOverlap="1" wp14:anchorId="66AAEEBA" wp14:editId="46954E21">
          <wp:simplePos x="0" y="0"/>
          <wp:positionH relativeFrom="column">
            <wp:posOffset>766445</wp:posOffset>
          </wp:positionH>
          <wp:positionV relativeFrom="paragraph">
            <wp:posOffset>10946765</wp:posOffset>
          </wp:positionV>
          <wp:extent cx="997585" cy="795655"/>
          <wp:effectExtent l="0" t="0" r="0" b="0"/>
          <wp:wrapNone/>
          <wp:docPr id="7" name="Imagen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9"/>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7585" cy="795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F0871">
      <w:rPr>
        <w:noProof/>
        <w:sz w:val="22"/>
        <w:szCs w:val="22"/>
        <w:lang w:val="es-CO" w:eastAsia="es-CO"/>
      </w:rPr>
      <w:drawing>
        <wp:anchor distT="0" distB="0" distL="114300" distR="114300" simplePos="0" relativeHeight="251662336" behindDoc="1" locked="0" layoutInCell="1" allowOverlap="1" wp14:anchorId="68E32BCA" wp14:editId="6E13E27C">
          <wp:simplePos x="0" y="0"/>
          <wp:positionH relativeFrom="column">
            <wp:posOffset>766445</wp:posOffset>
          </wp:positionH>
          <wp:positionV relativeFrom="paragraph">
            <wp:posOffset>10946765</wp:posOffset>
          </wp:positionV>
          <wp:extent cx="997585" cy="795655"/>
          <wp:effectExtent l="0" t="0" r="0" b="0"/>
          <wp:wrapNone/>
          <wp:docPr id="8" name="Imagen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8"/>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7585" cy="795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F0871">
      <w:rPr>
        <w:noProof/>
        <w:sz w:val="22"/>
        <w:szCs w:val="22"/>
        <w:lang w:val="es-CO" w:eastAsia="es-CO"/>
      </w:rPr>
      <w:drawing>
        <wp:anchor distT="0" distB="0" distL="114300" distR="114300" simplePos="0" relativeHeight="251661312" behindDoc="1" locked="0" layoutInCell="1" allowOverlap="1" wp14:anchorId="0BE4A3CA" wp14:editId="5D6C2FDB">
          <wp:simplePos x="0" y="0"/>
          <wp:positionH relativeFrom="column">
            <wp:posOffset>766445</wp:posOffset>
          </wp:positionH>
          <wp:positionV relativeFrom="paragraph">
            <wp:posOffset>8203565</wp:posOffset>
          </wp:positionV>
          <wp:extent cx="997585" cy="795655"/>
          <wp:effectExtent l="0" t="0" r="0" b="0"/>
          <wp:wrapNone/>
          <wp:docPr id="9" name="Imagen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7"/>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7585" cy="795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F0871">
      <w:rPr>
        <w:rFonts w:cs="Arial"/>
        <w:sz w:val="16"/>
        <w:szCs w:val="16"/>
      </w:rPr>
      <w:t>www.consejodeestado.gov.co</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8952AF" w14:textId="77777777" w:rsidR="00194210" w:rsidRDefault="00194210">
      <w:r>
        <w:separator/>
      </w:r>
    </w:p>
  </w:footnote>
  <w:footnote w:type="continuationSeparator" w:id="0">
    <w:p w14:paraId="14D8A716" w14:textId="77777777" w:rsidR="00194210" w:rsidRDefault="00194210">
      <w:r>
        <w:continuationSeparator/>
      </w:r>
    </w:p>
  </w:footnote>
  <w:footnote w:id="1">
    <w:p w14:paraId="7FF8A29B" w14:textId="77777777" w:rsidR="00BC0F01" w:rsidRPr="00B71C92" w:rsidRDefault="00BC0F01" w:rsidP="00BC0F01">
      <w:pPr>
        <w:rPr>
          <w:rFonts w:ascii="Arial" w:hAnsi="Arial" w:cs="Arial"/>
          <w:sz w:val="18"/>
          <w:szCs w:val="18"/>
        </w:rPr>
      </w:pPr>
      <w:r w:rsidRPr="00B71C92">
        <w:rPr>
          <w:rFonts w:ascii="Arial" w:hAnsi="Arial" w:cs="Arial"/>
          <w:sz w:val="18"/>
          <w:szCs w:val="18"/>
          <w:vertAlign w:val="superscript"/>
        </w:rPr>
        <w:footnoteRef/>
      </w:r>
      <w:r w:rsidRPr="00B71C92">
        <w:rPr>
          <w:rFonts w:ascii="Arial" w:hAnsi="Arial" w:cs="Arial"/>
          <w:sz w:val="18"/>
          <w:szCs w:val="18"/>
        </w:rPr>
        <w:t xml:space="preserve"> vía correo electrónico (expediente digital).</w:t>
      </w:r>
    </w:p>
  </w:footnote>
  <w:footnote w:id="2">
    <w:p w14:paraId="28CF45AF" w14:textId="3054C39B" w:rsidR="00D2132F" w:rsidRPr="00B71C92" w:rsidRDefault="00D2132F">
      <w:pPr>
        <w:rPr>
          <w:rFonts w:ascii="Arial" w:eastAsia="Arial" w:hAnsi="Arial" w:cs="Arial"/>
          <w:color w:val="000000"/>
          <w:sz w:val="18"/>
          <w:szCs w:val="18"/>
        </w:rPr>
      </w:pPr>
      <w:r w:rsidRPr="00B71C92">
        <w:rPr>
          <w:rFonts w:ascii="Arial" w:hAnsi="Arial" w:cs="Arial"/>
          <w:sz w:val="18"/>
          <w:szCs w:val="18"/>
          <w:vertAlign w:val="superscript"/>
        </w:rPr>
        <w:footnoteRef/>
      </w:r>
      <w:r w:rsidRPr="00B71C92">
        <w:rPr>
          <w:rFonts w:ascii="Arial" w:eastAsia="Arial" w:hAnsi="Arial" w:cs="Arial"/>
          <w:color w:val="000000"/>
          <w:sz w:val="18"/>
          <w:szCs w:val="18"/>
        </w:rPr>
        <w:t xml:space="preserve"> </w:t>
      </w:r>
      <w:r w:rsidRPr="00B71C92">
        <w:rPr>
          <w:rFonts w:ascii="Arial" w:eastAsia="Arial" w:hAnsi="Arial" w:cs="Arial"/>
          <w:sz w:val="18"/>
          <w:szCs w:val="18"/>
        </w:rPr>
        <w:t xml:space="preserve">Pág. 58 del escrito de tutela (expediente digital).  </w:t>
      </w:r>
    </w:p>
  </w:footnote>
  <w:footnote w:id="3">
    <w:p w14:paraId="67CEA8BE" w14:textId="77777777" w:rsidR="00586462" w:rsidRPr="005E1F42" w:rsidRDefault="00586462" w:rsidP="00586462">
      <w:pPr>
        <w:pStyle w:val="Textonotapie"/>
        <w:rPr>
          <w:sz w:val="13"/>
          <w:szCs w:val="13"/>
        </w:rPr>
      </w:pPr>
      <w:r>
        <w:rPr>
          <w:rStyle w:val="Refdenotaalpie"/>
        </w:rPr>
        <w:footnoteRef/>
      </w:r>
      <w:r>
        <w:t xml:space="preserve"> </w:t>
      </w:r>
      <w:r w:rsidRPr="005E1F42">
        <w:rPr>
          <w:rFonts w:ascii="Arial" w:hAnsi="Arial" w:cs="Arial"/>
          <w:sz w:val="18"/>
          <w:szCs w:val="18"/>
        </w:rPr>
        <w:t xml:space="preserve">Decreto 2591 de 1991, Art. 1º: </w:t>
      </w:r>
      <w:r w:rsidRPr="005E1F42">
        <w:rPr>
          <w:rFonts w:ascii="Arial" w:hAnsi="Arial" w:cs="Arial"/>
          <w:i/>
          <w:sz w:val="18"/>
          <w:szCs w:val="18"/>
        </w:rPr>
        <w:t>“</w:t>
      </w:r>
      <w:r w:rsidRPr="005E1F42">
        <w:rPr>
          <w:rFonts w:ascii="Arial" w:hAnsi="Arial" w:cs="Arial"/>
          <w:bCs/>
          <w:i/>
          <w:sz w:val="18"/>
          <w:szCs w:val="18"/>
        </w:rPr>
        <w:t>Toda persona</w:t>
      </w:r>
      <w:r w:rsidRPr="005E1F42">
        <w:rPr>
          <w:rFonts w:ascii="Arial" w:hAnsi="Arial" w:cs="Arial"/>
          <w:i/>
          <w:sz w:val="18"/>
          <w:szCs w:val="18"/>
        </w:rPr>
        <w:t xml:space="preserve"> tendrá acción de tutela para reclamar ante los jueces, en todo momento y lugar, mediante un procedimiento preferente y sumario, por sí misma o por quien actúe en su nombre, </w:t>
      </w:r>
      <w:r w:rsidRPr="005E1F42">
        <w:rPr>
          <w:rFonts w:ascii="Arial" w:hAnsi="Arial" w:cs="Arial"/>
          <w:bCs/>
          <w:i/>
          <w:sz w:val="18"/>
          <w:szCs w:val="18"/>
        </w:rPr>
        <w:t>la protección inmediata de sus derechos constitucionales fundamentales</w:t>
      </w:r>
      <w:r w:rsidRPr="005E1F42">
        <w:rPr>
          <w:rFonts w:ascii="Arial" w:hAnsi="Arial" w:cs="Arial"/>
          <w:i/>
          <w:sz w:val="18"/>
          <w:szCs w:val="18"/>
        </w:rPr>
        <w:t>, cuando quiera que estos resulten vulnerados o amenazados por la acción o la omisión de cualquier autoridad pública o de los particulares en los casos que señala este decreto”</w:t>
      </w:r>
      <w:r w:rsidRPr="005E1F42">
        <w:rPr>
          <w:rFonts w:ascii="Arial" w:hAnsi="Arial" w:cs="Arial"/>
          <w:sz w:val="18"/>
          <w:szCs w:val="18"/>
        </w:rPr>
        <w:t>.</w:t>
      </w:r>
    </w:p>
  </w:footnote>
  <w:footnote w:id="4">
    <w:p w14:paraId="20BBEE60" w14:textId="77777777" w:rsidR="00586462" w:rsidRPr="006C708A" w:rsidRDefault="00586462" w:rsidP="00586462">
      <w:pPr>
        <w:pBdr>
          <w:top w:val="nil"/>
          <w:left w:val="nil"/>
          <w:bottom w:val="nil"/>
          <w:right w:val="nil"/>
          <w:between w:val="nil"/>
        </w:pBdr>
        <w:rPr>
          <w:rFonts w:ascii="Arial" w:eastAsia="Arial" w:hAnsi="Arial"/>
          <w:color w:val="000000"/>
          <w:sz w:val="18"/>
          <w:szCs w:val="18"/>
        </w:rPr>
      </w:pPr>
      <w:r w:rsidRPr="006C708A">
        <w:rPr>
          <w:rFonts w:ascii="Arial" w:hAnsi="Arial"/>
          <w:sz w:val="18"/>
          <w:szCs w:val="18"/>
          <w:vertAlign w:val="superscript"/>
        </w:rPr>
        <w:footnoteRef/>
      </w:r>
      <w:r w:rsidRPr="006C708A">
        <w:rPr>
          <w:rFonts w:ascii="Arial" w:eastAsia="Arial" w:hAnsi="Arial"/>
          <w:color w:val="000000"/>
          <w:sz w:val="18"/>
          <w:szCs w:val="18"/>
        </w:rPr>
        <w:t xml:space="preserve"> Los </w:t>
      </w:r>
      <w:r w:rsidRPr="006C708A">
        <w:rPr>
          <w:rFonts w:ascii="Arial" w:eastAsia="Arial" w:hAnsi="Arial"/>
          <w:b/>
          <w:color w:val="000000"/>
          <w:sz w:val="18"/>
          <w:szCs w:val="18"/>
        </w:rPr>
        <w:t>requisitos generales</w:t>
      </w:r>
      <w:r w:rsidRPr="006C708A">
        <w:rPr>
          <w:rFonts w:ascii="Arial" w:eastAsia="Arial" w:hAnsi="Arial"/>
          <w:color w:val="000000"/>
          <w:sz w:val="18"/>
          <w:szCs w:val="18"/>
        </w:rPr>
        <w:t xml:space="preserve"> para la procedencia de la acción de tutela contra providencias judiciales son: i)  que el actor indique los hechos y las razones en que se fundamenta la acción; ii) el accionante haya utilizado todos los mecanismos judiciales ordinarios y extraordinarios a su alcance para la protección de sus derechos fundamentales (subsidiariedad); iii) que la acción se haya interpuesto en un término prudencial (inmediatez); iv) que el asunto sea de evidente relevancia constitucional; y  </w:t>
      </w:r>
      <w:r w:rsidRPr="006C708A">
        <w:rPr>
          <w:rFonts w:ascii="Arial" w:eastAsia="Arial" w:hAnsi="Arial"/>
          <w:i/>
          <w:color w:val="000000"/>
          <w:sz w:val="18"/>
          <w:szCs w:val="18"/>
        </w:rPr>
        <w:t>v)</w:t>
      </w:r>
      <w:r w:rsidRPr="006C708A">
        <w:rPr>
          <w:rFonts w:ascii="Arial" w:eastAsia="Arial" w:hAnsi="Arial"/>
          <w:color w:val="000000"/>
          <w:sz w:val="18"/>
          <w:szCs w:val="18"/>
        </w:rPr>
        <w:t xml:space="preserve"> que no se trate de una decisión proferida en sede de tutela.</w:t>
      </w:r>
    </w:p>
  </w:footnote>
  <w:footnote w:id="5">
    <w:p w14:paraId="64B4A18E" w14:textId="77777777" w:rsidR="00586462" w:rsidRPr="006C708A" w:rsidRDefault="00586462" w:rsidP="00586462">
      <w:pPr>
        <w:pBdr>
          <w:top w:val="nil"/>
          <w:left w:val="nil"/>
          <w:bottom w:val="nil"/>
          <w:right w:val="nil"/>
          <w:between w:val="nil"/>
        </w:pBdr>
        <w:rPr>
          <w:rFonts w:ascii="Arial" w:eastAsia="Arial" w:hAnsi="Arial"/>
          <w:color w:val="000000"/>
          <w:sz w:val="18"/>
          <w:szCs w:val="18"/>
        </w:rPr>
      </w:pPr>
      <w:r w:rsidRPr="006C708A">
        <w:rPr>
          <w:rFonts w:ascii="Arial" w:hAnsi="Arial"/>
          <w:sz w:val="18"/>
          <w:szCs w:val="18"/>
          <w:vertAlign w:val="superscript"/>
        </w:rPr>
        <w:footnoteRef/>
      </w:r>
      <w:r w:rsidRPr="006C708A">
        <w:rPr>
          <w:rFonts w:ascii="Arial" w:eastAsia="Arial" w:hAnsi="Arial"/>
          <w:color w:val="000000"/>
          <w:sz w:val="18"/>
          <w:szCs w:val="18"/>
        </w:rPr>
        <w:t xml:space="preserve"> Los </w:t>
      </w:r>
      <w:r w:rsidRPr="006C708A">
        <w:rPr>
          <w:rFonts w:ascii="Arial" w:eastAsia="Arial" w:hAnsi="Arial"/>
          <w:b/>
          <w:color w:val="000000"/>
          <w:sz w:val="18"/>
          <w:szCs w:val="18"/>
        </w:rPr>
        <w:t>requisitos especiales</w:t>
      </w:r>
      <w:r w:rsidRPr="006C708A">
        <w:rPr>
          <w:rFonts w:ascii="Arial" w:eastAsia="Arial" w:hAnsi="Arial"/>
          <w:color w:val="000000"/>
          <w:sz w:val="18"/>
          <w:szCs w:val="18"/>
        </w:rPr>
        <w:t xml:space="preserve"> para la procedencia de la acción de tutela contra providencias judiciales son: i) defecto orgánico, ii) defecto procedimental, iii) defecto fáctico, iv) defecto material o sustantivo, v) defecto por error inducido, vi) defecto por falta de motivación, vii) defecto por desconocimiento del precedente y viii) defecto por violación directa de la Constitución.</w:t>
      </w:r>
    </w:p>
  </w:footnote>
  <w:footnote w:id="6">
    <w:p w14:paraId="00285592" w14:textId="77777777" w:rsidR="00586462" w:rsidRPr="00B31FD9" w:rsidRDefault="00586462" w:rsidP="00586462">
      <w:pPr>
        <w:rPr>
          <w:rFonts w:ascii="Arial" w:eastAsia="Arial" w:hAnsi="Arial" w:cs="Arial"/>
          <w:sz w:val="18"/>
          <w:szCs w:val="18"/>
        </w:rPr>
      </w:pPr>
      <w:r w:rsidRPr="00B31FD9">
        <w:rPr>
          <w:rFonts w:ascii="Arial" w:hAnsi="Arial" w:cs="Arial"/>
          <w:sz w:val="18"/>
          <w:szCs w:val="18"/>
          <w:vertAlign w:val="superscript"/>
        </w:rPr>
        <w:footnoteRef/>
      </w:r>
      <w:r w:rsidRPr="00B31FD9">
        <w:rPr>
          <w:rFonts w:ascii="Arial" w:eastAsia="Arial" w:hAnsi="Arial" w:cs="Arial"/>
          <w:sz w:val="18"/>
          <w:szCs w:val="18"/>
        </w:rPr>
        <w:t xml:space="preserve"> Corte Constitucional de Colombia. Sentencia SU-686 de 2015. M.P. Gloria Stella Ortiz Delgado. Y Consejo de Estado. Sala Plena de lo Contencioso Administrativo. Sentencia del 5 de agosto de 2014. Proceso No. 11001-03-15-000-2012-02201-01 (IJ). M.P. Jorge Octavio Ramírez R. </w:t>
      </w:r>
    </w:p>
  </w:footnote>
  <w:footnote w:id="7">
    <w:p w14:paraId="71F10019" w14:textId="77777777" w:rsidR="00D8231E" w:rsidRPr="00521C8B" w:rsidRDefault="00D8231E" w:rsidP="00D8231E">
      <w:pPr>
        <w:rPr>
          <w:rFonts w:ascii="Arial" w:eastAsia="Arial" w:hAnsi="Arial" w:cs="Arial"/>
          <w:sz w:val="18"/>
          <w:szCs w:val="18"/>
        </w:rPr>
      </w:pPr>
      <w:r w:rsidRPr="00521C8B">
        <w:rPr>
          <w:rFonts w:ascii="Arial" w:hAnsi="Arial" w:cs="Arial"/>
          <w:sz w:val="18"/>
          <w:szCs w:val="18"/>
          <w:vertAlign w:val="superscript"/>
        </w:rPr>
        <w:footnoteRef/>
      </w:r>
      <w:r w:rsidRPr="00521C8B">
        <w:rPr>
          <w:rFonts w:ascii="Arial" w:eastAsia="Arial" w:hAnsi="Arial" w:cs="Arial"/>
          <w:sz w:val="18"/>
          <w:szCs w:val="18"/>
        </w:rPr>
        <w:t xml:space="preserve"> Corte Constitucional, sentencia T- 123 de 2007, M.P. Álvaro Tafur Galvis.</w:t>
      </w:r>
    </w:p>
  </w:footnote>
  <w:footnote w:id="8">
    <w:p w14:paraId="459DB4B8" w14:textId="77777777" w:rsidR="00D8231E" w:rsidRPr="00521C8B" w:rsidRDefault="00D8231E" w:rsidP="00D8231E">
      <w:pPr>
        <w:rPr>
          <w:rFonts w:ascii="Arial" w:eastAsia="Arial" w:hAnsi="Arial" w:cs="Arial"/>
          <w:sz w:val="18"/>
          <w:szCs w:val="18"/>
        </w:rPr>
      </w:pPr>
      <w:r w:rsidRPr="00521C8B">
        <w:rPr>
          <w:rFonts w:ascii="Arial" w:hAnsi="Arial" w:cs="Arial"/>
          <w:sz w:val="18"/>
          <w:szCs w:val="18"/>
          <w:vertAlign w:val="superscript"/>
        </w:rPr>
        <w:footnoteRef/>
      </w:r>
      <w:r w:rsidRPr="00521C8B">
        <w:rPr>
          <w:rFonts w:ascii="Arial" w:eastAsia="Arial" w:hAnsi="Arial" w:cs="Arial"/>
          <w:sz w:val="18"/>
          <w:szCs w:val="18"/>
        </w:rPr>
        <w:t xml:space="preserve"> Ibídem.</w:t>
      </w:r>
    </w:p>
  </w:footnote>
  <w:footnote w:id="9">
    <w:p w14:paraId="4E2AD793" w14:textId="77777777" w:rsidR="00D8231E" w:rsidRPr="00521C8B" w:rsidRDefault="00D8231E" w:rsidP="00D8231E">
      <w:pPr>
        <w:pBdr>
          <w:top w:val="nil"/>
          <w:left w:val="nil"/>
          <w:bottom w:val="nil"/>
          <w:right w:val="nil"/>
          <w:between w:val="nil"/>
        </w:pBdr>
        <w:rPr>
          <w:rFonts w:ascii="Arial" w:hAnsi="Arial" w:cs="Arial"/>
          <w:color w:val="000000"/>
          <w:sz w:val="18"/>
          <w:szCs w:val="18"/>
        </w:rPr>
      </w:pPr>
      <w:r w:rsidRPr="00521C8B">
        <w:rPr>
          <w:rFonts w:ascii="Arial" w:hAnsi="Arial" w:cs="Arial"/>
          <w:sz w:val="18"/>
          <w:szCs w:val="18"/>
          <w:vertAlign w:val="superscript"/>
        </w:rPr>
        <w:footnoteRef/>
      </w:r>
      <w:r w:rsidRPr="00521C8B">
        <w:rPr>
          <w:rFonts w:ascii="Arial" w:hAnsi="Arial" w:cs="Arial"/>
          <w:color w:val="000000"/>
          <w:sz w:val="18"/>
          <w:szCs w:val="18"/>
        </w:rPr>
        <w:t xml:space="preserve"> Ver al respecto: Corte Constitucional, sentencia SU 391 de 2016 M.P. Alejandro Linares Cantillo, sentencia T-246 de 2015 M.P. Martha Victoria Sáchica Méndez, sentencia T-594 de 2008 M.P. Jaime Córdoba Triviño, sentencia T-158 de 2006 M.P. Humberto Antonio Sierra Porto, sentencia T-1110 de 2005 M.P. Humberto Antonio Sierra Porto, sentencia SU-961 de 1999 M.P. Vladimiro Naranjo Mesa.</w:t>
      </w:r>
    </w:p>
  </w:footnote>
  <w:footnote w:id="10">
    <w:p w14:paraId="5C9D0F59" w14:textId="77777777" w:rsidR="00D8231E" w:rsidRPr="00521C8B" w:rsidRDefault="00D8231E" w:rsidP="00D8231E">
      <w:pPr>
        <w:pBdr>
          <w:top w:val="nil"/>
          <w:left w:val="nil"/>
          <w:bottom w:val="nil"/>
          <w:right w:val="nil"/>
          <w:between w:val="nil"/>
        </w:pBdr>
        <w:rPr>
          <w:rFonts w:ascii="Arial" w:hAnsi="Arial" w:cs="Arial"/>
          <w:color w:val="000000"/>
          <w:sz w:val="18"/>
          <w:szCs w:val="18"/>
        </w:rPr>
      </w:pPr>
      <w:r w:rsidRPr="00521C8B">
        <w:rPr>
          <w:rFonts w:ascii="Arial" w:hAnsi="Arial" w:cs="Arial"/>
          <w:sz w:val="18"/>
          <w:szCs w:val="18"/>
          <w:vertAlign w:val="superscript"/>
        </w:rPr>
        <w:footnoteRef/>
      </w:r>
      <w:r w:rsidRPr="00521C8B">
        <w:rPr>
          <w:rFonts w:ascii="Arial" w:hAnsi="Arial" w:cs="Arial"/>
          <w:color w:val="000000"/>
          <w:sz w:val="18"/>
          <w:szCs w:val="18"/>
        </w:rPr>
        <w:t xml:space="preserve"> Corte Constitucional. M. P. Alejandro Linares Cantillo.</w:t>
      </w:r>
    </w:p>
  </w:footnote>
  <w:footnote w:id="11">
    <w:p w14:paraId="1062A738" w14:textId="77777777" w:rsidR="00D8231E" w:rsidRPr="00521C8B" w:rsidRDefault="00D8231E" w:rsidP="00D8231E">
      <w:pPr>
        <w:pBdr>
          <w:top w:val="nil"/>
          <w:left w:val="nil"/>
          <w:bottom w:val="nil"/>
          <w:right w:val="nil"/>
          <w:between w:val="nil"/>
        </w:pBdr>
        <w:rPr>
          <w:rFonts w:ascii="Arial" w:hAnsi="Arial" w:cs="Arial"/>
          <w:color w:val="000000"/>
          <w:sz w:val="18"/>
          <w:szCs w:val="18"/>
        </w:rPr>
      </w:pPr>
      <w:r w:rsidRPr="00521C8B">
        <w:rPr>
          <w:rFonts w:ascii="Arial" w:hAnsi="Arial" w:cs="Arial"/>
          <w:sz w:val="18"/>
          <w:szCs w:val="18"/>
          <w:vertAlign w:val="superscript"/>
        </w:rPr>
        <w:footnoteRef/>
      </w:r>
      <w:r w:rsidRPr="00521C8B">
        <w:rPr>
          <w:rFonts w:ascii="Arial" w:hAnsi="Arial" w:cs="Arial"/>
          <w:color w:val="000000"/>
          <w:sz w:val="18"/>
          <w:szCs w:val="18"/>
        </w:rPr>
        <w:t xml:space="preserve"> Ibídem.  </w:t>
      </w:r>
    </w:p>
  </w:footnote>
  <w:footnote w:id="12">
    <w:p w14:paraId="33B5D9AC" w14:textId="77777777" w:rsidR="00D8231E" w:rsidRPr="00521C8B" w:rsidRDefault="00D8231E" w:rsidP="00D8231E">
      <w:pPr>
        <w:pBdr>
          <w:top w:val="nil"/>
          <w:left w:val="nil"/>
          <w:bottom w:val="nil"/>
          <w:right w:val="nil"/>
          <w:between w:val="nil"/>
        </w:pBdr>
        <w:rPr>
          <w:rFonts w:ascii="Arial" w:hAnsi="Arial" w:cs="Arial"/>
          <w:color w:val="000000"/>
          <w:sz w:val="18"/>
          <w:szCs w:val="18"/>
        </w:rPr>
      </w:pPr>
      <w:r w:rsidRPr="00521C8B">
        <w:rPr>
          <w:rFonts w:ascii="Arial" w:hAnsi="Arial" w:cs="Arial"/>
          <w:sz w:val="18"/>
          <w:szCs w:val="18"/>
          <w:vertAlign w:val="superscript"/>
        </w:rPr>
        <w:footnoteRef/>
      </w:r>
      <w:r w:rsidRPr="00521C8B">
        <w:rPr>
          <w:rFonts w:ascii="Arial" w:hAnsi="Arial" w:cs="Arial"/>
          <w:color w:val="000000"/>
          <w:sz w:val="18"/>
          <w:szCs w:val="18"/>
        </w:rPr>
        <w:t xml:space="preserve"> Exp. Nº 11001-03-15-000-2012-02201-01, C. P. Jorge Octavio Ramírez Ramírez.</w:t>
      </w:r>
    </w:p>
  </w:footnote>
  <w:footnote w:id="13">
    <w:p w14:paraId="626C7C84" w14:textId="77777777" w:rsidR="00D8231E" w:rsidRPr="00521C8B" w:rsidRDefault="00D8231E" w:rsidP="00D8231E">
      <w:pPr>
        <w:pBdr>
          <w:top w:val="nil"/>
          <w:left w:val="nil"/>
          <w:bottom w:val="nil"/>
          <w:right w:val="nil"/>
          <w:between w:val="nil"/>
        </w:pBdr>
        <w:rPr>
          <w:rFonts w:ascii="Arial" w:hAnsi="Arial" w:cs="Arial"/>
          <w:color w:val="000000"/>
          <w:sz w:val="18"/>
          <w:szCs w:val="18"/>
        </w:rPr>
      </w:pPr>
      <w:r w:rsidRPr="00521C8B">
        <w:rPr>
          <w:rFonts w:ascii="Arial" w:hAnsi="Arial" w:cs="Arial"/>
          <w:sz w:val="18"/>
          <w:szCs w:val="18"/>
          <w:vertAlign w:val="superscript"/>
        </w:rPr>
        <w:footnoteRef/>
      </w:r>
      <w:r w:rsidRPr="00521C8B">
        <w:rPr>
          <w:rFonts w:ascii="Arial" w:hAnsi="Arial" w:cs="Arial"/>
          <w:color w:val="000000"/>
          <w:sz w:val="18"/>
          <w:szCs w:val="18"/>
        </w:rPr>
        <w:t xml:space="preserve"> T-031 de 2016, M. P. Luis Guillermo Guerrero Pérez.</w:t>
      </w:r>
    </w:p>
  </w:footnote>
  <w:footnote w:id="14">
    <w:p w14:paraId="751F1635" w14:textId="28B2263F" w:rsidR="001B01A1" w:rsidRPr="001B01A1" w:rsidRDefault="001B01A1">
      <w:pPr>
        <w:pStyle w:val="Textonotapie"/>
        <w:rPr>
          <w:rFonts w:ascii="Arial" w:hAnsi="Arial" w:cs="Arial"/>
          <w:sz w:val="18"/>
          <w:szCs w:val="18"/>
        </w:rPr>
      </w:pPr>
      <w:r w:rsidRPr="001B01A1">
        <w:rPr>
          <w:rStyle w:val="Refdenotaalpie"/>
          <w:rFonts w:ascii="Arial" w:hAnsi="Arial" w:cs="Arial"/>
          <w:sz w:val="18"/>
          <w:szCs w:val="18"/>
        </w:rPr>
        <w:footnoteRef/>
      </w:r>
      <w:r w:rsidRPr="001B01A1">
        <w:rPr>
          <w:rFonts w:ascii="Arial" w:hAnsi="Arial" w:cs="Arial"/>
          <w:sz w:val="18"/>
          <w:szCs w:val="18"/>
        </w:rPr>
        <w:t xml:space="preserve"> Folio 456 del cuaderno No. 2 del expediente digitalizado, contentivo del medio de control de reparación directa con radicación No. 76001-23-31-000-2006-03055-01 (51013) Actor: Everto Ruiz Romero. </w:t>
      </w:r>
    </w:p>
  </w:footnote>
  <w:footnote w:id="15">
    <w:p w14:paraId="4CC960DF" w14:textId="34697CB3" w:rsidR="000B47BC" w:rsidRPr="000B47BC" w:rsidRDefault="000B47BC">
      <w:pPr>
        <w:pStyle w:val="Textonotapie"/>
      </w:pPr>
      <w:r>
        <w:rPr>
          <w:rStyle w:val="Refdenotaalpie"/>
        </w:rPr>
        <w:footnoteRef/>
      </w:r>
      <w:r>
        <w:t xml:space="preserve"> </w:t>
      </w:r>
      <w:r w:rsidRPr="001B01A1">
        <w:rPr>
          <w:rFonts w:ascii="Arial" w:hAnsi="Arial" w:cs="Arial"/>
          <w:sz w:val="18"/>
          <w:szCs w:val="18"/>
        </w:rPr>
        <w:t xml:space="preserve">Folio </w:t>
      </w:r>
      <w:r>
        <w:rPr>
          <w:rFonts w:ascii="Arial" w:hAnsi="Arial" w:cs="Arial"/>
          <w:sz w:val="18"/>
          <w:szCs w:val="18"/>
        </w:rPr>
        <w:t>474</w:t>
      </w:r>
      <w:r w:rsidRPr="001B01A1">
        <w:rPr>
          <w:rFonts w:ascii="Arial" w:hAnsi="Arial" w:cs="Arial"/>
          <w:sz w:val="18"/>
          <w:szCs w:val="18"/>
        </w:rPr>
        <w:t xml:space="preserve"> del cuaderno No. 2 del expediente digitalizado, contentivo del medio de control de reparación directa con radicación No. 76001-23-31-000-2006-03055-01 (51013) Actor: Everto Ruiz Romero.</w:t>
      </w:r>
    </w:p>
  </w:footnote>
  <w:footnote w:id="16">
    <w:p w14:paraId="001FA37B" w14:textId="594D738C" w:rsidR="004170C7" w:rsidRPr="004170C7" w:rsidRDefault="004170C7" w:rsidP="004170C7">
      <w:pPr>
        <w:pStyle w:val="Textonotapie"/>
        <w:rPr>
          <w:rFonts w:ascii="Arial" w:hAnsi="Arial" w:cs="Arial"/>
          <w:sz w:val="18"/>
          <w:szCs w:val="18"/>
        </w:rPr>
      </w:pPr>
      <w:r w:rsidRPr="004170C7">
        <w:rPr>
          <w:rStyle w:val="Refdenotaalpie"/>
          <w:rFonts w:ascii="Arial" w:hAnsi="Arial" w:cs="Arial"/>
          <w:sz w:val="18"/>
          <w:szCs w:val="18"/>
        </w:rPr>
        <w:footnoteRef/>
      </w:r>
      <w:r w:rsidRPr="004170C7">
        <w:rPr>
          <w:rFonts w:ascii="Arial" w:hAnsi="Arial" w:cs="Arial"/>
          <w:sz w:val="18"/>
          <w:szCs w:val="18"/>
        </w:rPr>
        <w:t xml:space="preserve"> ARTÍCULO 1. Suspender los términos judiciales en todo el país a partir del 16 y hasta</w:t>
      </w:r>
      <w:r>
        <w:rPr>
          <w:rFonts w:ascii="Arial" w:hAnsi="Arial" w:cs="Arial"/>
          <w:sz w:val="18"/>
          <w:szCs w:val="18"/>
        </w:rPr>
        <w:t xml:space="preserve"> </w:t>
      </w:r>
      <w:r w:rsidRPr="004170C7">
        <w:rPr>
          <w:rFonts w:ascii="Arial" w:hAnsi="Arial" w:cs="Arial"/>
          <w:sz w:val="18"/>
          <w:szCs w:val="18"/>
        </w:rPr>
        <w:t>el 20 de marzo de 2020, excepto en los despachos judiciales que cumplen la función de</w:t>
      </w:r>
      <w:r>
        <w:rPr>
          <w:rFonts w:ascii="Arial" w:hAnsi="Arial" w:cs="Arial"/>
          <w:sz w:val="18"/>
          <w:szCs w:val="18"/>
        </w:rPr>
        <w:t xml:space="preserve"> </w:t>
      </w:r>
      <w:r w:rsidRPr="004170C7">
        <w:rPr>
          <w:rFonts w:ascii="Arial" w:hAnsi="Arial" w:cs="Arial"/>
          <w:sz w:val="18"/>
          <w:szCs w:val="18"/>
        </w:rPr>
        <w:t>control de garantías y los despachos penales de conocimiento que tengan programadas</w:t>
      </w:r>
      <w:r>
        <w:rPr>
          <w:rFonts w:ascii="Arial" w:hAnsi="Arial" w:cs="Arial"/>
          <w:sz w:val="18"/>
          <w:szCs w:val="18"/>
        </w:rPr>
        <w:t xml:space="preserve"> </w:t>
      </w:r>
      <w:r w:rsidRPr="004170C7">
        <w:rPr>
          <w:rFonts w:ascii="Arial" w:hAnsi="Arial" w:cs="Arial"/>
          <w:sz w:val="18"/>
          <w:szCs w:val="18"/>
        </w:rPr>
        <w:t>audiencias con persona privada de la libertad, las cuales se podrán realizar</w:t>
      </w:r>
    </w:p>
    <w:p w14:paraId="58CF44ED" w14:textId="77777777" w:rsidR="004170C7" w:rsidRPr="004170C7" w:rsidRDefault="004170C7" w:rsidP="004170C7">
      <w:pPr>
        <w:pStyle w:val="Textonotapie"/>
        <w:rPr>
          <w:rFonts w:ascii="Arial" w:hAnsi="Arial" w:cs="Arial"/>
          <w:sz w:val="18"/>
          <w:szCs w:val="18"/>
          <w:u w:val="single"/>
        </w:rPr>
      </w:pPr>
      <w:r w:rsidRPr="004170C7">
        <w:rPr>
          <w:rFonts w:ascii="Arial" w:hAnsi="Arial" w:cs="Arial"/>
          <w:sz w:val="18"/>
          <w:szCs w:val="18"/>
        </w:rPr>
        <w:t>virtualmente</w:t>
      </w:r>
      <w:r w:rsidRPr="004170C7">
        <w:rPr>
          <w:rFonts w:ascii="Arial" w:hAnsi="Arial" w:cs="Arial"/>
          <w:sz w:val="18"/>
          <w:szCs w:val="18"/>
          <w:u w:val="single"/>
        </w:rPr>
        <w:t>. Igualmente se exceptúa el trámite de acciones de tutela.</w:t>
      </w:r>
    </w:p>
    <w:p w14:paraId="29C832F9" w14:textId="525C3C57" w:rsidR="004170C7" w:rsidRPr="004170C7" w:rsidRDefault="004170C7" w:rsidP="004170C7">
      <w:pPr>
        <w:pStyle w:val="Textonotapie"/>
        <w:rPr>
          <w:rFonts w:ascii="Arial" w:hAnsi="Arial" w:cs="Arial"/>
          <w:sz w:val="18"/>
          <w:szCs w:val="18"/>
        </w:rPr>
      </w:pPr>
      <w:r w:rsidRPr="004170C7">
        <w:rPr>
          <w:rFonts w:ascii="Arial" w:hAnsi="Arial" w:cs="Arial"/>
          <w:sz w:val="18"/>
          <w:szCs w:val="18"/>
        </w:rPr>
        <w:t>Parágrafo 1. Al término de este plazo se expedirán las decisiones sobre la continuidad</w:t>
      </w:r>
      <w:r>
        <w:rPr>
          <w:rFonts w:ascii="Arial" w:hAnsi="Arial" w:cs="Arial"/>
          <w:sz w:val="18"/>
          <w:szCs w:val="18"/>
        </w:rPr>
        <w:t xml:space="preserve"> </w:t>
      </w:r>
      <w:r w:rsidRPr="004170C7">
        <w:rPr>
          <w:rFonts w:ascii="Arial" w:hAnsi="Arial" w:cs="Arial"/>
          <w:sz w:val="18"/>
          <w:szCs w:val="18"/>
        </w:rPr>
        <w:t>de esta medida.</w:t>
      </w:r>
    </w:p>
    <w:p w14:paraId="2B3EC127" w14:textId="14B2586C" w:rsidR="004170C7" w:rsidRPr="004170C7" w:rsidRDefault="004170C7" w:rsidP="004170C7">
      <w:pPr>
        <w:pStyle w:val="Textonotapie"/>
        <w:rPr>
          <w:rFonts w:ascii="Arial" w:hAnsi="Arial" w:cs="Arial"/>
          <w:sz w:val="18"/>
          <w:szCs w:val="18"/>
        </w:rPr>
      </w:pPr>
      <w:r w:rsidRPr="004170C7">
        <w:rPr>
          <w:rFonts w:ascii="Arial" w:hAnsi="Arial" w:cs="Arial"/>
          <w:sz w:val="18"/>
          <w:szCs w:val="18"/>
        </w:rPr>
        <w:t>Parágrafo 2. Las direcciones seccionales de administración judicial se encargarán de</w:t>
      </w:r>
      <w:r>
        <w:rPr>
          <w:rFonts w:ascii="Arial" w:hAnsi="Arial" w:cs="Arial"/>
          <w:sz w:val="18"/>
          <w:szCs w:val="18"/>
        </w:rPr>
        <w:t xml:space="preserve"> </w:t>
      </w:r>
      <w:r w:rsidRPr="004170C7">
        <w:rPr>
          <w:rFonts w:ascii="Arial" w:hAnsi="Arial" w:cs="Arial"/>
          <w:sz w:val="18"/>
          <w:szCs w:val="18"/>
        </w:rPr>
        <w:t>asegurar que el acceso a las sedes judiciales se limite a las actuaciones señaladas en</w:t>
      </w:r>
      <w:r>
        <w:rPr>
          <w:rFonts w:ascii="Arial" w:hAnsi="Arial" w:cs="Arial"/>
          <w:sz w:val="18"/>
          <w:szCs w:val="18"/>
        </w:rPr>
        <w:t xml:space="preserve"> </w:t>
      </w:r>
      <w:r w:rsidRPr="004170C7">
        <w:rPr>
          <w:rFonts w:ascii="Arial" w:hAnsi="Arial" w:cs="Arial"/>
          <w:sz w:val="18"/>
          <w:szCs w:val="18"/>
        </w:rPr>
        <w:t>este artículo.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183DF" w14:textId="3FB931F3" w:rsidR="00CA6ADC" w:rsidRPr="003A1763" w:rsidRDefault="00CA6ADC" w:rsidP="00BC0F01">
    <w:pPr>
      <w:pStyle w:val="Encabezado"/>
      <w:spacing w:line="360" w:lineRule="auto"/>
      <w:rPr>
        <w:rFonts w:ascii="Arial" w:hAnsi="Arial"/>
        <w:sz w:val="20"/>
        <w:szCs w:val="20"/>
      </w:rPr>
    </w:pPr>
    <w:r w:rsidRPr="003A1763">
      <w:rPr>
        <w:rFonts w:ascii="Arial" w:hAnsi="Arial"/>
        <w:noProof/>
        <w:lang w:val="es-CO" w:eastAsia="es-CO"/>
      </w:rPr>
      <w:drawing>
        <wp:anchor distT="0" distB="0" distL="114300" distR="114300" simplePos="0" relativeHeight="251667456" behindDoc="0" locked="0" layoutInCell="1" allowOverlap="1" wp14:anchorId="58E58945" wp14:editId="78CFFB4C">
          <wp:simplePos x="0" y="0"/>
          <wp:positionH relativeFrom="column">
            <wp:posOffset>-384810</wp:posOffset>
          </wp:positionH>
          <wp:positionV relativeFrom="paragraph">
            <wp:posOffset>-240030</wp:posOffset>
          </wp:positionV>
          <wp:extent cx="1238250" cy="1152525"/>
          <wp:effectExtent l="0" t="0" r="0" b="0"/>
          <wp:wrapSquare wrapText="bothSides"/>
          <wp:docPr id="2"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8250" cy="1152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3CD794" w14:textId="77777777" w:rsidR="00CA6ADC" w:rsidRDefault="00CA6ADC" w:rsidP="00CA6ADC">
    <w:pPr>
      <w:pStyle w:val="Encabezado"/>
      <w:rPr>
        <w:rFonts w:ascii="Arial" w:hAnsi="Arial"/>
        <w:sz w:val="20"/>
        <w:szCs w:val="20"/>
      </w:rPr>
    </w:pPr>
  </w:p>
  <w:p w14:paraId="7627333C" w14:textId="77777777" w:rsidR="00CA6ADC" w:rsidRPr="003A1763" w:rsidRDefault="00CA6ADC" w:rsidP="00CA6ADC">
    <w:pPr>
      <w:pStyle w:val="Encabezado"/>
      <w:rPr>
        <w:rFonts w:ascii="Arial" w:hAnsi="Arial"/>
        <w:sz w:val="20"/>
        <w:szCs w:val="20"/>
      </w:rPr>
    </w:pPr>
    <w:r w:rsidRPr="003A1763">
      <w:rPr>
        <w:rFonts w:ascii="Arial" w:hAnsi="Arial"/>
        <w:noProof/>
        <w:sz w:val="20"/>
        <w:szCs w:val="20"/>
        <w:lang w:val="es-CO" w:eastAsia="es-CO"/>
      </w:rPr>
      <mc:AlternateContent>
        <mc:Choice Requires="wps">
          <w:drawing>
            <wp:anchor distT="0" distB="0" distL="114300" distR="114300" simplePos="0" relativeHeight="251666432" behindDoc="0" locked="0" layoutInCell="1" allowOverlap="1" wp14:anchorId="5DE88DA4" wp14:editId="3D8EB04F">
              <wp:simplePos x="0" y="0"/>
              <wp:positionH relativeFrom="column">
                <wp:posOffset>1379855</wp:posOffset>
              </wp:positionH>
              <wp:positionV relativeFrom="paragraph">
                <wp:posOffset>60325</wp:posOffset>
              </wp:positionV>
              <wp:extent cx="5400040" cy="0"/>
              <wp:effectExtent l="0" t="12700" r="10160" b="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400040" cy="0"/>
                      </a:xfrm>
                      <a:prstGeom prst="straightConnector1">
                        <a:avLst/>
                      </a:prstGeom>
                      <a:noFill/>
                      <a:ln w="285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1F3763">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2CAB004" id="_x0000_t32" coordsize="21600,21600" o:spt="32" o:oned="t" path="m,l21600,21600e" filled="f">
              <v:path arrowok="t" fillok="f" o:connecttype="none"/>
              <o:lock v:ext="edit" shapetype="t"/>
            </v:shapetype>
            <v:shape id="AutoShape 1" o:spid="_x0000_s1026" type="#_x0000_t32" style="position:absolute;margin-left:108.65pt;margin-top:4.75pt;width:425.2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" strokeweight="2.25pt">
              <v:shadow color="#1f3763" opacity=".5" offset="1pt"/>
              <o:lock v:ext="edit" shapetype="f"/>
            </v:shape>
          </w:pict>
        </mc:Fallback>
      </mc:AlternateContent>
    </w:r>
  </w:p>
  <w:p w14:paraId="45C92A63" w14:textId="01A08FB0" w:rsidR="00D2132F" w:rsidRDefault="00D2132F">
    <w:pPr>
      <w:pBdr>
        <w:top w:val="nil"/>
        <w:left w:val="nil"/>
        <w:bottom w:val="nil"/>
        <w:right w:val="nil"/>
        <w:between w:val="nil"/>
      </w:pBdr>
      <w:tabs>
        <w:tab w:val="center" w:pos="4252"/>
        <w:tab w:val="right" w:pos="8504"/>
      </w:tabs>
      <w:jc w:val="right"/>
      <w:rPr>
        <w:rFonts w:ascii="Arial" w:eastAsia="Arial" w:hAnsi="Arial" w:cs="Arial"/>
        <w:color w:val="808080"/>
        <w:sz w:val="20"/>
        <w:szCs w:val="20"/>
      </w:rPr>
    </w:pPr>
    <w:r>
      <w:rPr>
        <w:rFonts w:ascii="Arial" w:eastAsia="Arial" w:hAnsi="Arial" w:cs="Arial"/>
        <w:color w:val="808080"/>
        <w:sz w:val="20"/>
        <w:szCs w:val="20"/>
      </w:rPr>
      <w:t>Radicado: 11001-03-15-000-2020-01982-00</w:t>
    </w:r>
  </w:p>
  <w:p w14:paraId="516BE3DE" w14:textId="6600461B" w:rsidR="00D2132F" w:rsidRDefault="00D2132F">
    <w:pPr>
      <w:pBdr>
        <w:top w:val="nil"/>
        <w:left w:val="nil"/>
        <w:bottom w:val="nil"/>
        <w:right w:val="nil"/>
        <w:between w:val="nil"/>
      </w:pBdr>
      <w:tabs>
        <w:tab w:val="center" w:pos="4252"/>
        <w:tab w:val="right" w:pos="8504"/>
      </w:tabs>
      <w:jc w:val="right"/>
      <w:rPr>
        <w:rFonts w:ascii="Arial" w:eastAsia="Arial" w:hAnsi="Arial" w:cs="Arial"/>
        <w:color w:val="808080"/>
        <w:sz w:val="20"/>
        <w:szCs w:val="20"/>
      </w:rPr>
    </w:pPr>
    <w:r>
      <w:rPr>
        <w:rFonts w:ascii="Arial" w:eastAsia="Arial" w:hAnsi="Arial" w:cs="Arial"/>
        <w:color w:val="808080"/>
        <w:sz w:val="20"/>
        <w:szCs w:val="20"/>
      </w:rPr>
      <w:t xml:space="preserve">Demandante: Everto </w:t>
    </w:r>
    <w:r w:rsidR="008C156A">
      <w:rPr>
        <w:rFonts w:ascii="Arial" w:eastAsia="Arial" w:hAnsi="Arial" w:cs="Arial"/>
        <w:color w:val="808080"/>
        <w:sz w:val="20"/>
        <w:szCs w:val="20"/>
      </w:rPr>
      <w:t xml:space="preserve">Ruiz </w:t>
    </w:r>
    <w:r>
      <w:rPr>
        <w:rFonts w:ascii="Arial" w:eastAsia="Arial" w:hAnsi="Arial" w:cs="Arial"/>
        <w:color w:val="808080"/>
        <w:sz w:val="20"/>
        <w:szCs w:val="20"/>
      </w:rPr>
      <w:t>Romero</w:t>
    </w:r>
  </w:p>
  <w:p w14:paraId="338E791D" w14:textId="77777777" w:rsidR="00CA6ADC" w:rsidRDefault="00CA6ADC" w:rsidP="00BC0F01">
    <w:pPr>
      <w:pBdr>
        <w:top w:val="nil"/>
        <w:left w:val="nil"/>
        <w:bottom w:val="nil"/>
        <w:right w:val="nil"/>
        <w:between w:val="nil"/>
      </w:pBdr>
      <w:tabs>
        <w:tab w:val="center" w:pos="4252"/>
        <w:tab w:val="right" w:pos="8504"/>
      </w:tabs>
      <w:spacing w:line="360" w:lineRule="auto"/>
      <w:jc w:val="right"/>
      <w:rPr>
        <w:rFonts w:ascii="Arial" w:eastAsia="Arial" w:hAnsi="Arial" w:cs="Arial"/>
        <w:color w:val="808080"/>
        <w:sz w:val="20"/>
        <w:szCs w:val="20"/>
      </w:rPr>
    </w:pPr>
  </w:p>
  <w:p w14:paraId="33119590" w14:textId="77777777" w:rsidR="00D2132F" w:rsidRDefault="00D2132F">
    <w:pPr>
      <w:pBdr>
        <w:top w:val="nil"/>
        <w:left w:val="nil"/>
        <w:bottom w:val="nil"/>
        <w:right w:val="nil"/>
        <w:between w:val="nil"/>
      </w:pBdr>
      <w:tabs>
        <w:tab w:val="center" w:pos="4252"/>
        <w:tab w:val="right" w:pos="8504"/>
      </w:tabs>
      <w:jc w:val="right"/>
      <w:rPr>
        <w:rFonts w:ascii="Arial" w:eastAsia="Arial" w:hAnsi="Arial" w:cs="Arial"/>
        <w:color w:val="808080"/>
        <w:sz w:val="20"/>
        <w:szCs w:val="20"/>
      </w:rPr>
    </w:pPr>
  </w:p>
  <w:p w14:paraId="27A21F3F" w14:textId="77777777" w:rsidR="00D2132F" w:rsidRDefault="00D2132F" w:rsidP="00CA6ADC">
    <w:pPr>
      <w:pBdr>
        <w:top w:val="nil"/>
        <w:left w:val="nil"/>
        <w:bottom w:val="nil"/>
        <w:right w:val="nil"/>
        <w:between w:val="nil"/>
      </w:pBdr>
      <w:tabs>
        <w:tab w:val="center" w:pos="4252"/>
        <w:tab w:val="right" w:pos="8504"/>
      </w:tabs>
      <w:rPr>
        <w:rFonts w:ascii="Arial" w:eastAsia="Arial" w:hAnsi="Arial" w:cs="Arial"/>
        <w:color w:val="767171"/>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A721D8"/>
    <w:multiLevelType w:val="multilevel"/>
    <w:tmpl w:val="066E03F0"/>
    <w:lvl w:ilvl="0">
      <w:start w:val="1"/>
      <w:numFmt w:val="decimal"/>
      <w:lvlText w:val="%1."/>
      <w:lvlJc w:val="left"/>
      <w:pPr>
        <w:ind w:left="720" w:hanging="360"/>
      </w:pPr>
      <w:rPr>
        <w:rFonts w:ascii="Arial" w:eastAsia="Arial" w:hAnsi="Arial" w:cs="Arial"/>
        <w:b/>
        <w:sz w:val="24"/>
        <w:szCs w:val="24"/>
        <w:u w:val="none"/>
        <w:vertAlign w:val="baseline"/>
      </w:rPr>
    </w:lvl>
    <w:lvl w:ilvl="1">
      <w:start w:val="1"/>
      <w:numFmt w:val="lowerLetter"/>
      <w:lvlText w:val="%2."/>
      <w:lvlJc w:val="left"/>
      <w:pPr>
        <w:ind w:left="1440" w:hanging="360"/>
      </w:pPr>
      <w:rPr>
        <w:u w:val="none"/>
        <w:vertAlign w:val="baseline"/>
      </w:rPr>
    </w:lvl>
    <w:lvl w:ilvl="2">
      <w:start w:val="1"/>
      <w:numFmt w:val="lowerRoman"/>
      <w:lvlText w:val="%3."/>
      <w:lvlJc w:val="right"/>
      <w:pPr>
        <w:ind w:left="2160" w:hanging="360"/>
      </w:pPr>
      <w:rPr>
        <w:u w:val="none"/>
        <w:vertAlign w:val="baseline"/>
      </w:rPr>
    </w:lvl>
    <w:lvl w:ilvl="3">
      <w:start w:val="1"/>
      <w:numFmt w:val="decimal"/>
      <w:lvlText w:val="%4."/>
      <w:lvlJc w:val="left"/>
      <w:pPr>
        <w:ind w:left="2880" w:hanging="360"/>
      </w:pPr>
      <w:rPr>
        <w:u w:val="none"/>
        <w:vertAlign w:val="baseline"/>
      </w:rPr>
    </w:lvl>
    <w:lvl w:ilvl="4">
      <w:start w:val="1"/>
      <w:numFmt w:val="lowerLetter"/>
      <w:lvlText w:val="%5."/>
      <w:lvlJc w:val="left"/>
      <w:pPr>
        <w:ind w:left="3600" w:hanging="360"/>
      </w:pPr>
      <w:rPr>
        <w:u w:val="none"/>
        <w:vertAlign w:val="baseline"/>
      </w:rPr>
    </w:lvl>
    <w:lvl w:ilvl="5">
      <w:start w:val="1"/>
      <w:numFmt w:val="lowerRoman"/>
      <w:lvlText w:val="%6."/>
      <w:lvlJc w:val="right"/>
      <w:pPr>
        <w:ind w:left="4320" w:hanging="360"/>
      </w:pPr>
      <w:rPr>
        <w:u w:val="none"/>
        <w:vertAlign w:val="baseline"/>
      </w:rPr>
    </w:lvl>
    <w:lvl w:ilvl="6">
      <w:start w:val="1"/>
      <w:numFmt w:val="decimal"/>
      <w:lvlText w:val="%7."/>
      <w:lvlJc w:val="left"/>
      <w:pPr>
        <w:ind w:left="5040" w:hanging="360"/>
      </w:pPr>
      <w:rPr>
        <w:u w:val="none"/>
        <w:vertAlign w:val="baseline"/>
      </w:rPr>
    </w:lvl>
    <w:lvl w:ilvl="7">
      <w:start w:val="1"/>
      <w:numFmt w:val="lowerLetter"/>
      <w:lvlText w:val="%8."/>
      <w:lvlJc w:val="left"/>
      <w:pPr>
        <w:ind w:left="5760" w:hanging="360"/>
      </w:pPr>
      <w:rPr>
        <w:u w:val="none"/>
        <w:vertAlign w:val="baseline"/>
      </w:rPr>
    </w:lvl>
    <w:lvl w:ilvl="8">
      <w:start w:val="1"/>
      <w:numFmt w:val="lowerRoman"/>
      <w:lvlText w:val="%9."/>
      <w:lvlJc w:val="right"/>
      <w:pPr>
        <w:ind w:left="6480" w:hanging="360"/>
      </w:pPr>
      <w:rPr>
        <w:u w:val="none"/>
        <w:vertAlign w:val="baseline"/>
      </w:rPr>
    </w:lvl>
  </w:abstractNum>
  <w:abstractNum w:abstractNumId="1" w15:restartNumberingAfterBreak="0">
    <w:nsid w:val="24DE1DB2"/>
    <w:multiLevelType w:val="multilevel"/>
    <w:tmpl w:val="C1DA4CC8"/>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765B5668"/>
    <w:multiLevelType w:val="multilevel"/>
    <w:tmpl w:val="2E921CD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1A7"/>
    <w:rsid w:val="00032BC5"/>
    <w:rsid w:val="000B47BC"/>
    <w:rsid w:val="000B509A"/>
    <w:rsid w:val="000E177F"/>
    <w:rsid w:val="000E410A"/>
    <w:rsid w:val="00107F88"/>
    <w:rsid w:val="0011553C"/>
    <w:rsid w:val="00123F48"/>
    <w:rsid w:val="00134645"/>
    <w:rsid w:val="00175159"/>
    <w:rsid w:val="00190881"/>
    <w:rsid w:val="00194210"/>
    <w:rsid w:val="001B01A1"/>
    <w:rsid w:val="001B4252"/>
    <w:rsid w:val="002134B6"/>
    <w:rsid w:val="00252B7D"/>
    <w:rsid w:val="0026456A"/>
    <w:rsid w:val="002C703F"/>
    <w:rsid w:val="003010CB"/>
    <w:rsid w:val="004170C7"/>
    <w:rsid w:val="004811A7"/>
    <w:rsid w:val="005014DC"/>
    <w:rsid w:val="005208F9"/>
    <w:rsid w:val="005427FA"/>
    <w:rsid w:val="00586462"/>
    <w:rsid w:val="005A0868"/>
    <w:rsid w:val="005F0ACC"/>
    <w:rsid w:val="00632F26"/>
    <w:rsid w:val="006A3425"/>
    <w:rsid w:val="006D4030"/>
    <w:rsid w:val="006E2852"/>
    <w:rsid w:val="00721D99"/>
    <w:rsid w:val="0072595E"/>
    <w:rsid w:val="007632C5"/>
    <w:rsid w:val="00772B6E"/>
    <w:rsid w:val="007A43C9"/>
    <w:rsid w:val="007E46BF"/>
    <w:rsid w:val="007F005F"/>
    <w:rsid w:val="007F37CA"/>
    <w:rsid w:val="00817589"/>
    <w:rsid w:val="008210A8"/>
    <w:rsid w:val="008244F1"/>
    <w:rsid w:val="00827E78"/>
    <w:rsid w:val="00851CB1"/>
    <w:rsid w:val="0086763A"/>
    <w:rsid w:val="00896EF9"/>
    <w:rsid w:val="008A2BAC"/>
    <w:rsid w:val="008C156A"/>
    <w:rsid w:val="008E2D35"/>
    <w:rsid w:val="008F0EDD"/>
    <w:rsid w:val="00927BC5"/>
    <w:rsid w:val="009550C9"/>
    <w:rsid w:val="00975D42"/>
    <w:rsid w:val="009873BA"/>
    <w:rsid w:val="009E5BD1"/>
    <w:rsid w:val="009F11F2"/>
    <w:rsid w:val="00A65054"/>
    <w:rsid w:val="00A653ED"/>
    <w:rsid w:val="00AD722B"/>
    <w:rsid w:val="00AF7984"/>
    <w:rsid w:val="00B41550"/>
    <w:rsid w:val="00B616E1"/>
    <w:rsid w:val="00B71C92"/>
    <w:rsid w:val="00BA415F"/>
    <w:rsid w:val="00BB4C61"/>
    <w:rsid w:val="00BC0F01"/>
    <w:rsid w:val="00BC4C38"/>
    <w:rsid w:val="00CA6ADC"/>
    <w:rsid w:val="00CE6A74"/>
    <w:rsid w:val="00D2132F"/>
    <w:rsid w:val="00D66667"/>
    <w:rsid w:val="00D8231E"/>
    <w:rsid w:val="00D97E1A"/>
    <w:rsid w:val="00DA603F"/>
    <w:rsid w:val="00DB33AC"/>
    <w:rsid w:val="00E2641C"/>
    <w:rsid w:val="00E44902"/>
    <w:rsid w:val="00E53828"/>
    <w:rsid w:val="00EC4804"/>
    <w:rsid w:val="00EC643A"/>
    <w:rsid w:val="00F023C5"/>
    <w:rsid w:val="00F20C8C"/>
    <w:rsid w:val="00F33ED7"/>
    <w:rsid w:val="00F62B83"/>
    <w:rsid w:val="00F70114"/>
    <w:rsid w:val="00F701F3"/>
    <w:rsid w:val="00F84E9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622E9B"/>
  <w15:docId w15:val="{53FC4F17-C80B-4BDC-B6C8-DAE6AD7BA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Verdana" w:hAnsi="Verdana" w:cs="Verdana"/>
        <w:sz w:val="24"/>
        <w:szCs w:val="24"/>
        <w:lang w:val="es-ES" w:eastAsia="es-MX"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72595E"/>
    <w:pPr>
      <w:tabs>
        <w:tab w:val="center" w:pos="4419"/>
        <w:tab w:val="right" w:pos="8838"/>
      </w:tabs>
    </w:pPr>
  </w:style>
  <w:style w:type="character" w:customStyle="1" w:styleId="EncabezadoCar">
    <w:name w:val="Encabezado Car"/>
    <w:basedOn w:val="Fuentedeprrafopredeter"/>
    <w:link w:val="Encabezado"/>
    <w:uiPriority w:val="99"/>
    <w:rsid w:val="0072595E"/>
  </w:style>
  <w:style w:type="paragraph" w:styleId="Piedepgina">
    <w:name w:val="footer"/>
    <w:basedOn w:val="Normal"/>
    <w:link w:val="PiedepginaCar"/>
    <w:uiPriority w:val="99"/>
    <w:unhideWhenUsed/>
    <w:rsid w:val="0072595E"/>
    <w:pPr>
      <w:tabs>
        <w:tab w:val="center" w:pos="4419"/>
        <w:tab w:val="right" w:pos="8838"/>
      </w:tabs>
    </w:pPr>
  </w:style>
  <w:style w:type="character" w:customStyle="1" w:styleId="PiedepginaCar">
    <w:name w:val="Pie de página Car"/>
    <w:basedOn w:val="Fuentedeprrafopredeter"/>
    <w:link w:val="Piedepgina"/>
    <w:uiPriority w:val="99"/>
    <w:rsid w:val="0072595E"/>
  </w:style>
  <w:style w:type="paragraph" w:styleId="NormalWeb">
    <w:name w:val="Normal (Web)"/>
    <w:basedOn w:val="Normal"/>
    <w:uiPriority w:val="99"/>
    <w:semiHidden/>
    <w:unhideWhenUsed/>
    <w:rsid w:val="00896EF9"/>
    <w:pPr>
      <w:spacing w:before="100" w:beforeAutospacing="1" w:after="100" w:afterAutospacing="1"/>
      <w:jc w:val="left"/>
    </w:pPr>
    <w:rPr>
      <w:rFonts w:ascii="Times New Roman" w:eastAsia="Times New Roman" w:hAnsi="Times New Roman" w:cs="Times New Roman"/>
      <w:lang w:val="es-MX"/>
    </w:rPr>
  </w:style>
  <w:style w:type="character" w:customStyle="1" w:styleId="apple-tab-span">
    <w:name w:val="apple-tab-span"/>
    <w:basedOn w:val="Fuentedeprrafopredeter"/>
    <w:rsid w:val="00896EF9"/>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e,Texto nota pie Ca"/>
    <w:basedOn w:val="Normal"/>
    <w:link w:val="TextonotapieCar"/>
    <w:uiPriority w:val="99"/>
    <w:unhideWhenUsed/>
    <w:qFormat/>
    <w:rsid w:val="001B01A1"/>
    <w:rPr>
      <w:sz w:val="20"/>
      <w:szCs w:val="20"/>
    </w:rPr>
  </w:style>
  <w:style w:type="character" w:customStyle="1" w:styleId="TextonotapieCar">
    <w:name w:val="Texto nota pie Car"/>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uiPriority w:val="99"/>
    <w:qFormat/>
    <w:rsid w:val="001B01A1"/>
    <w:rPr>
      <w:sz w:val="20"/>
      <w:szCs w:val="20"/>
    </w:rPr>
  </w:style>
  <w:style w:type="character" w:styleId="Refdenotaalpie">
    <w:name w:val="footnote reference"/>
    <w:aliases w:val="Texto de nota al pie,referencia nota al pie,Footnotes refss,Ref. de nota al pie 2,Pie de Página,FC,Appel note de bas de page,Footnote number,BVI fnr,f,4_G,16 Point,Superscript 6 Point,Texto nota al pie,Texto de nota al pi,Pie de Pàgi"/>
    <w:basedOn w:val="Fuentedeprrafopredeter"/>
    <w:link w:val="Piedepagina"/>
    <w:uiPriority w:val="99"/>
    <w:unhideWhenUsed/>
    <w:qFormat/>
    <w:rsid w:val="001B01A1"/>
    <w:rPr>
      <w:vertAlign w:val="superscript"/>
    </w:rPr>
  </w:style>
  <w:style w:type="character" w:styleId="Refdecomentario">
    <w:name w:val="annotation reference"/>
    <w:basedOn w:val="Fuentedeprrafopredeter"/>
    <w:uiPriority w:val="99"/>
    <w:semiHidden/>
    <w:unhideWhenUsed/>
    <w:rsid w:val="00B41550"/>
    <w:rPr>
      <w:sz w:val="16"/>
      <w:szCs w:val="16"/>
    </w:rPr>
  </w:style>
  <w:style w:type="paragraph" w:styleId="Textocomentario">
    <w:name w:val="annotation text"/>
    <w:basedOn w:val="Normal"/>
    <w:link w:val="TextocomentarioCar"/>
    <w:uiPriority w:val="99"/>
    <w:semiHidden/>
    <w:unhideWhenUsed/>
    <w:rsid w:val="00B41550"/>
    <w:rPr>
      <w:sz w:val="20"/>
      <w:szCs w:val="20"/>
    </w:rPr>
  </w:style>
  <w:style w:type="character" w:customStyle="1" w:styleId="TextocomentarioCar">
    <w:name w:val="Texto comentario Car"/>
    <w:basedOn w:val="Fuentedeprrafopredeter"/>
    <w:link w:val="Textocomentario"/>
    <w:uiPriority w:val="99"/>
    <w:semiHidden/>
    <w:rsid w:val="00B41550"/>
    <w:rPr>
      <w:sz w:val="20"/>
      <w:szCs w:val="20"/>
    </w:rPr>
  </w:style>
  <w:style w:type="paragraph" w:styleId="Asuntodelcomentario">
    <w:name w:val="annotation subject"/>
    <w:basedOn w:val="Textocomentario"/>
    <w:next w:val="Textocomentario"/>
    <w:link w:val="AsuntodelcomentarioCar"/>
    <w:uiPriority w:val="99"/>
    <w:semiHidden/>
    <w:unhideWhenUsed/>
    <w:rsid w:val="00B41550"/>
    <w:rPr>
      <w:b/>
      <w:bCs/>
    </w:rPr>
  </w:style>
  <w:style w:type="character" w:customStyle="1" w:styleId="AsuntodelcomentarioCar">
    <w:name w:val="Asunto del comentario Car"/>
    <w:basedOn w:val="TextocomentarioCar"/>
    <w:link w:val="Asuntodelcomentario"/>
    <w:uiPriority w:val="99"/>
    <w:semiHidden/>
    <w:rsid w:val="00B41550"/>
    <w:rPr>
      <w:b/>
      <w:bCs/>
      <w:sz w:val="20"/>
      <w:szCs w:val="20"/>
    </w:rPr>
  </w:style>
  <w:style w:type="paragraph" w:styleId="Textodeglobo">
    <w:name w:val="Balloon Text"/>
    <w:basedOn w:val="Normal"/>
    <w:link w:val="TextodegloboCar"/>
    <w:uiPriority w:val="99"/>
    <w:semiHidden/>
    <w:unhideWhenUsed/>
    <w:rsid w:val="00B41550"/>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B41550"/>
    <w:rPr>
      <w:rFonts w:ascii="Times New Roman" w:hAnsi="Times New Roman" w:cs="Times New Roman"/>
      <w:sz w:val="18"/>
      <w:szCs w:val="18"/>
    </w:rPr>
  </w:style>
  <w:style w:type="paragraph" w:styleId="Sinespaciado">
    <w:name w:val="No Spacing"/>
    <w:uiPriority w:val="1"/>
    <w:qFormat/>
    <w:rsid w:val="00CA6ADC"/>
    <w:pPr>
      <w:ind w:hanging="1"/>
    </w:pPr>
  </w:style>
  <w:style w:type="paragraph" w:customStyle="1" w:styleId="Piedepagina">
    <w:name w:val="Pie de pagina"/>
    <w:basedOn w:val="Normal"/>
    <w:link w:val="Refdenotaalpie"/>
    <w:uiPriority w:val="99"/>
    <w:rsid w:val="00586462"/>
    <w:pPr>
      <w:spacing w:after="160" w:line="240" w:lineRule="exact"/>
      <w:jc w:val="lef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6524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86304AAD8523E45A244E5EF8C5271CA" ma:contentTypeVersion="2" ma:contentTypeDescription="Crear nuevo documento." ma:contentTypeScope="" ma:versionID="4f3bb590d436f9f41f9ba9e783fa9689">
  <xsd:schema xmlns:xsd="http://www.w3.org/2001/XMLSchema" xmlns:xs="http://www.w3.org/2001/XMLSchema" xmlns:p="http://schemas.microsoft.com/office/2006/metadata/properties" xmlns:ns2="750e1240-e0e3-440a-8a1b-3b5071aa7f03" targetNamespace="http://schemas.microsoft.com/office/2006/metadata/properties" ma:root="true" ma:fieldsID="edc2751d8a9712aee79fd7fb853da482" ns2:_="">
    <xsd:import namespace="750e1240-e0e3-440a-8a1b-3b5071aa7f0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0e1240-e0e3-440a-8a1b-3b5071aa7f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B2B00-FBA3-4F04-B998-5AFAE6F85E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4B5F04-033E-49BC-A78F-5BB17D4991F8}">
  <ds:schemaRefs>
    <ds:schemaRef ds:uri="http://schemas.microsoft.com/sharepoint/v3/contenttype/forms"/>
  </ds:schemaRefs>
</ds:datastoreItem>
</file>

<file path=customXml/itemProps3.xml><?xml version="1.0" encoding="utf-8"?>
<ds:datastoreItem xmlns:ds="http://schemas.openxmlformats.org/officeDocument/2006/customXml" ds:itemID="{E29CB894-A4BC-480E-B3E7-DEFEE322B5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0e1240-e0e3-440a-8a1b-3b5071aa7f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A1DFBF-0510-4D0F-9B03-6929E1D77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3904</Words>
  <Characters>21472</Characters>
  <Application>Microsoft Office Word</Application>
  <DocSecurity>0</DocSecurity>
  <Lines>178</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GÓMEZ</dc:creator>
  <cp:lastModifiedBy>Usuario</cp:lastModifiedBy>
  <cp:revision>2</cp:revision>
  <dcterms:created xsi:type="dcterms:W3CDTF">2021-05-01T03:09:00Z</dcterms:created>
  <dcterms:modified xsi:type="dcterms:W3CDTF">2021-05-01T03:09:00Z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0x010100086304AAD8523E45A244E5EF8C5271CA</vt:lpwstr>
  </property>
</Properties>
</file>